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D9D9D9" w:themeFill="background1" w:themeFillShade="D9"/>
        <w:tblLook w:val="04A0" w:firstRow="1" w:lastRow="0" w:firstColumn="1" w:lastColumn="0" w:noHBand="0" w:noVBand="1"/>
      </w:tblPr>
      <w:tblGrid>
        <w:gridCol w:w="9016"/>
      </w:tblGrid>
      <w:tr w:rsidR="00ED7300" w:rsidRPr="00ED7300" w14:paraId="34661651" w14:textId="77777777" w:rsidTr="00ED7300">
        <w:tc>
          <w:tcPr>
            <w:tcW w:w="9016" w:type="dxa"/>
            <w:shd w:val="clear" w:color="auto" w:fill="D9D9D9" w:themeFill="background1" w:themeFillShade="D9"/>
          </w:tcPr>
          <w:p w14:paraId="49D03738" w14:textId="77777777" w:rsidR="00ED7300" w:rsidRDefault="00ED7300" w:rsidP="00111870">
            <w:pPr>
              <w:pStyle w:val="Default"/>
              <w:jc w:val="center"/>
              <w:rPr>
                <w:rFonts w:asciiTheme="minorHAnsi" w:hAnsiTheme="minorHAnsi" w:cstheme="minorHAnsi"/>
                <w:b/>
                <w:color w:val="2A3187"/>
              </w:rPr>
            </w:pPr>
          </w:p>
          <w:p w14:paraId="6C43C9D9" w14:textId="3B4E66F2" w:rsidR="00ED7300" w:rsidRDefault="00ED7300" w:rsidP="00111870">
            <w:pPr>
              <w:pStyle w:val="Default"/>
              <w:jc w:val="center"/>
              <w:rPr>
                <w:rFonts w:asciiTheme="minorHAnsi" w:hAnsiTheme="minorHAnsi" w:cstheme="minorHAnsi"/>
                <w:b/>
                <w:color w:val="2A3187"/>
              </w:rPr>
            </w:pPr>
            <w:r w:rsidRPr="00ED7300">
              <w:rPr>
                <w:rFonts w:asciiTheme="minorHAnsi" w:hAnsiTheme="minorHAnsi" w:cstheme="minorHAnsi"/>
                <w:b/>
                <w:noProof/>
                <w:color w:val="2A3187"/>
              </w:rPr>
              <w:drawing>
                <wp:inline distT="0" distB="0" distL="0" distR="0" wp14:anchorId="7F509E55" wp14:editId="49129F45">
                  <wp:extent cx="305738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7384" cy="876300"/>
                          </a:xfrm>
                          <a:prstGeom prst="rect">
                            <a:avLst/>
                          </a:prstGeom>
                          <a:noFill/>
                          <a:ln>
                            <a:noFill/>
                          </a:ln>
                        </pic:spPr>
                      </pic:pic>
                    </a:graphicData>
                  </a:graphic>
                </wp:inline>
              </w:drawing>
            </w:r>
          </w:p>
          <w:p w14:paraId="4CA8ADAE" w14:textId="77777777" w:rsidR="00ED7300" w:rsidRPr="00ED7300" w:rsidRDefault="00ED7300" w:rsidP="00111870">
            <w:pPr>
              <w:pStyle w:val="Default"/>
              <w:jc w:val="center"/>
              <w:rPr>
                <w:rFonts w:asciiTheme="minorHAnsi" w:hAnsiTheme="minorHAnsi" w:cstheme="minorHAnsi"/>
                <w:b/>
                <w:color w:val="2A3187"/>
              </w:rPr>
            </w:pPr>
          </w:p>
          <w:p w14:paraId="2B834C67" w14:textId="77777777" w:rsidR="00ED7300" w:rsidRPr="00ED7300" w:rsidRDefault="00ED7300" w:rsidP="00ED7300">
            <w:pPr>
              <w:pStyle w:val="Title"/>
              <w:jc w:val="center"/>
              <w:rPr>
                <w:rFonts w:asciiTheme="minorHAnsi" w:hAnsiTheme="minorHAnsi" w:cstheme="minorHAnsi"/>
                <w:color w:val="FF0000"/>
                <w:sz w:val="52"/>
                <w:szCs w:val="52"/>
              </w:rPr>
            </w:pPr>
            <w:r w:rsidRPr="00ED7300">
              <w:rPr>
                <w:rFonts w:asciiTheme="minorHAnsi" w:hAnsiTheme="minorHAnsi" w:cstheme="minorHAnsi"/>
                <w:color w:val="FF0000"/>
                <w:sz w:val="52"/>
                <w:szCs w:val="52"/>
              </w:rPr>
              <w:t>SAMPLE</w:t>
            </w:r>
          </w:p>
          <w:p w14:paraId="1C8C8B0F" w14:textId="1536EFEC" w:rsidR="00ED7300" w:rsidRPr="00ED7300" w:rsidRDefault="00F8153A" w:rsidP="00ED7300">
            <w:pPr>
              <w:pStyle w:val="Title"/>
              <w:jc w:val="center"/>
              <w:rPr>
                <w:rFonts w:asciiTheme="minorHAnsi" w:hAnsiTheme="minorHAnsi" w:cstheme="minorHAnsi"/>
                <w:sz w:val="52"/>
                <w:szCs w:val="52"/>
              </w:rPr>
            </w:pPr>
            <w:r w:rsidRPr="00F742EF">
              <w:rPr>
                <w:rFonts w:asciiTheme="minorHAnsi" w:hAnsiTheme="minorHAnsi" w:cstheme="minorHAnsi"/>
                <w:caps/>
                <w:sz w:val="52"/>
                <w:szCs w:val="52"/>
              </w:rPr>
              <w:t>Grievance and Disciplinary</w:t>
            </w:r>
            <w:r w:rsidRPr="00F8153A">
              <w:rPr>
                <w:rFonts w:asciiTheme="minorHAnsi" w:hAnsiTheme="minorHAnsi" w:cstheme="minorHAnsi"/>
                <w:sz w:val="52"/>
                <w:szCs w:val="52"/>
              </w:rPr>
              <w:t xml:space="preserve"> </w:t>
            </w:r>
            <w:r w:rsidR="00511959">
              <w:rPr>
                <w:rFonts w:asciiTheme="minorHAnsi" w:hAnsiTheme="minorHAnsi" w:cstheme="minorHAnsi"/>
                <w:sz w:val="52"/>
                <w:szCs w:val="52"/>
              </w:rPr>
              <w:t>PROCEDURE</w:t>
            </w:r>
          </w:p>
          <w:p w14:paraId="2F1D0438" w14:textId="77777777" w:rsidR="00ED7300" w:rsidRDefault="00ED7300" w:rsidP="00ED7300">
            <w:pPr>
              <w:rPr>
                <w:rFonts w:asciiTheme="minorHAnsi" w:hAnsiTheme="minorHAnsi" w:cstheme="minorHAnsi"/>
                <w:lang w:val="en-GB"/>
              </w:rPr>
            </w:pPr>
          </w:p>
          <w:p w14:paraId="29FF299F" w14:textId="30FA7D4A" w:rsidR="00572C7F" w:rsidRPr="009A69E7" w:rsidRDefault="00ED7300" w:rsidP="009A69E7">
            <w:pPr>
              <w:spacing w:afterLines="120" w:after="288"/>
              <w:jc w:val="center"/>
              <w:rPr>
                <w:rFonts w:asciiTheme="minorHAnsi" w:hAnsiTheme="minorHAnsi" w:cstheme="minorHAnsi"/>
                <w:sz w:val="32"/>
                <w:szCs w:val="32"/>
                <w:lang w:val="en-GB"/>
              </w:rPr>
            </w:pPr>
            <w:r w:rsidRPr="009A69E7">
              <w:rPr>
                <w:rFonts w:asciiTheme="minorHAnsi" w:hAnsiTheme="minorHAnsi" w:cstheme="minorHAnsi"/>
                <w:sz w:val="32"/>
                <w:szCs w:val="32"/>
                <w:lang w:val="en-GB"/>
              </w:rPr>
              <w:t xml:space="preserve">To use this policy, please read through it, change all references </w:t>
            </w:r>
            <w:r w:rsidR="002E1380" w:rsidRPr="009A69E7">
              <w:rPr>
                <w:rFonts w:asciiTheme="minorHAnsi" w:hAnsiTheme="minorHAnsi" w:cstheme="minorHAnsi"/>
                <w:sz w:val="32"/>
                <w:szCs w:val="32"/>
                <w:lang w:val="en-GB"/>
              </w:rPr>
              <w:t>for</w:t>
            </w:r>
            <w:r w:rsidRPr="009A69E7">
              <w:rPr>
                <w:rFonts w:asciiTheme="minorHAnsi" w:hAnsiTheme="minorHAnsi" w:cstheme="minorHAnsi"/>
                <w:sz w:val="32"/>
                <w:szCs w:val="32"/>
                <w:lang w:val="en-GB"/>
              </w:rPr>
              <w:t xml:space="preserve"> </w:t>
            </w:r>
            <w:r w:rsidR="009A69E7" w:rsidRPr="009A69E7">
              <w:rPr>
                <w:rFonts w:asciiTheme="minorHAnsi" w:hAnsiTheme="minorHAnsi" w:cstheme="minorHAnsi"/>
                <w:sz w:val="32"/>
                <w:szCs w:val="32"/>
                <w:lang w:val="en-GB"/>
              </w:rPr>
              <w:t xml:space="preserve">“Kent Coast Volunteering” or </w:t>
            </w:r>
            <w:r w:rsidRPr="009A69E7">
              <w:rPr>
                <w:rFonts w:asciiTheme="minorHAnsi" w:hAnsiTheme="minorHAnsi" w:cstheme="minorHAnsi"/>
                <w:sz w:val="32"/>
                <w:szCs w:val="32"/>
                <w:lang w:val="en-GB"/>
              </w:rPr>
              <w:t>“KCV” to your own organisation, and delete this page.</w:t>
            </w:r>
          </w:p>
          <w:p w14:paraId="58CCC61E" w14:textId="133FF09F" w:rsidR="00572C7F" w:rsidRPr="003606E6" w:rsidRDefault="0032580F" w:rsidP="0032580F">
            <w:pPr>
              <w:spacing w:afterLines="120" w:after="288"/>
              <w:rPr>
                <w:rFonts w:asciiTheme="minorHAnsi" w:hAnsiTheme="minorHAnsi" w:cstheme="minorHAnsi"/>
                <w:lang w:val="en-GB"/>
              </w:rPr>
            </w:pPr>
            <w:proofErr w:type="gramStart"/>
            <w:r w:rsidRPr="003606E6">
              <w:rPr>
                <w:rFonts w:asciiTheme="minorHAnsi" w:hAnsiTheme="minorHAnsi" w:cstheme="minorHAnsi"/>
                <w:lang w:val="en-GB"/>
              </w:rPr>
              <w:t>In</w:t>
            </w:r>
            <w:r w:rsidR="00572C7F" w:rsidRPr="003606E6">
              <w:rPr>
                <w:rFonts w:asciiTheme="minorHAnsi" w:hAnsiTheme="minorHAnsi" w:cstheme="minorHAnsi"/>
                <w:lang w:val="en-GB"/>
              </w:rPr>
              <w:t xml:space="preserve"> particular</w:t>
            </w:r>
            <w:r w:rsidRPr="003606E6">
              <w:rPr>
                <w:rFonts w:asciiTheme="minorHAnsi" w:hAnsiTheme="minorHAnsi" w:cstheme="minorHAnsi"/>
                <w:lang w:val="en-GB"/>
              </w:rPr>
              <w:t>, please</w:t>
            </w:r>
            <w:proofErr w:type="gramEnd"/>
            <w:r w:rsidR="00572C7F" w:rsidRPr="003606E6">
              <w:rPr>
                <w:rFonts w:asciiTheme="minorHAnsi" w:hAnsiTheme="minorHAnsi" w:cstheme="minorHAnsi"/>
                <w:lang w:val="en-GB"/>
              </w:rPr>
              <w:t xml:space="preserve"> review the following section:</w:t>
            </w:r>
          </w:p>
          <w:p w14:paraId="7856C8E6" w14:textId="39BFEEFB" w:rsidR="003606E6" w:rsidRPr="007B5A40" w:rsidRDefault="007B5A40" w:rsidP="007B5A40">
            <w:pPr>
              <w:pStyle w:val="ListParagraph"/>
              <w:numPr>
                <w:ilvl w:val="0"/>
                <w:numId w:val="20"/>
              </w:numPr>
              <w:spacing w:afterLines="120" w:after="288"/>
              <w:ind w:left="1077"/>
              <w:contextualSpacing w:val="0"/>
              <w:rPr>
                <w:rFonts w:cstheme="minorHAnsi"/>
                <w:sz w:val="24"/>
                <w:szCs w:val="24"/>
              </w:rPr>
            </w:pPr>
            <w:r w:rsidRPr="007B5A40">
              <w:rPr>
                <w:sz w:val="24"/>
                <w:szCs w:val="24"/>
              </w:rPr>
              <w:t xml:space="preserve">All procedures from 3.0 onwards </w:t>
            </w:r>
            <w:r w:rsidR="003606E6" w:rsidRPr="007B5A40">
              <w:rPr>
                <w:sz w:val="24"/>
                <w:szCs w:val="24"/>
              </w:rPr>
              <w:t xml:space="preserve">– </w:t>
            </w:r>
            <w:r w:rsidRPr="007B5A40">
              <w:rPr>
                <w:sz w:val="24"/>
                <w:szCs w:val="24"/>
              </w:rPr>
              <w:t xml:space="preserve">there are multiple </w:t>
            </w:r>
            <w:r w:rsidR="003606E6" w:rsidRPr="007B5A40">
              <w:rPr>
                <w:sz w:val="24"/>
                <w:szCs w:val="24"/>
              </w:rPr>
              <w:t>mention</w:t>
            </w:r>
            <w:r w:rsidRPr="007B5A40">
              <w:rPr>
                <w:sz w:val="24"/>
                <w:szCs w:val="24"/>
              </w:rPr>
              <w:t>s</w:t>
            </w:r>
            <w:r w:rsidR="003606E6" w:rsidRPr="007B5A40">
              <w:rPr>
                <w:sz w:val="24"/>
                <w:szCs w:val="24"/>
              </w:rPr>
              <w:t xml:space="preserve"> of trustees </w:t>
            </w:r>
            <w:r w:rsidRPr="007B5A40">
              <w:rPr>
                <w:sz w:val="24"/>
                <w:szCs w:val="24"/>
              </w:rPr>
              <w:t xml:space="preserve">as the top of our charity, so please change </w:t>
            </w:r>
            <w:r>
              <w:rPr>
                <w:sz w:val="24"/>
                <w:szCs w:val="24"/>
              </w:rPr>
              <w:t xml:space="preserve">to who is responsible </w:t>
            </w:r>
            <w:r w:rsidR="003606E6" w:rsidRPr="007B5A40">
              <w:rPr>
                <w:sz w:val="24"/>
                <w:szCs w:val="24"/>
              </w:rPr>
              <w:t>according to your own infrastructure.</w:t>
            </w:r>
          </w:p>
        </w:tc>
      </w:tr>
    </w:tbl>
    <w:p w14:paraId="45AC989D" w14:textId="77777777" w:rsidR="00ED7300" w:rsidRDefault="00ED7300" w:rsidP="00111870">
      <w:pPr>
        <w:pStyle w:val="Default"/>
        <w:jc w:val="center"/>
        <w:rPr>
          <w:rFonts w:ascii="Calibri" w:hAnsi="Calibri" w:cs="Calibri"/>
          <w:b/>
          <w:color w:val="2A3187"/>
        </w:rPr>
      </w:pPr>
    </w:p>
    <w:p w14:paraId="16882401" w14:textId="77777777" w:rsidR="00ED7300" w:rsidRPr="001D21E9" w:rsidRDefault="00ED7300" w:rsidP="00111870">
      <w:pPr>
        <w:pStyle w:val="Default"/>
        <w:jc w:val="center"/>
        <w:rPr>
          <w:rFonts w:ascii="Calibri" w:hAnsi="Calibri" w:cs="Calibri"/>
          <w:b/>
          <w:color w:val="2A3187"/>
        </w:rPr>
      </w:pPr>
    </w:p>
    <w:p w14:paraId="3F109962" w14:textId="77777777" w:rsidR="00ED7300" w:rsidRDefault="00ED7300">
      <w:pPr>
        <w:rPr>
          <w:rFonts w:ascii="Calibri" w:hAnsi="Calibri" w:cs="Tahoma"/>
          <w:b/>
          <w:color w:val="2A3187"/>
          <w:sz w:val="32"/>
          <w:szCs w:val="32"/>
        </w:rPr>
      </w:pPr>
      <w:r>
        <w:rPr>
          <w:rFonts w:ascii="Calibri" w:hAnsi="Calibri" w:cs="Tahoma"/>
          <w:b/>
          <w:color w:val="2A3187"/>
          <w:sz w:val="32"/>
          <w:szCs w:val="32"/>
        </w:rPr>
        <w:br w:type="page"/>
      </w:r>
    </w:p>
    <w:p w14:paraId="27A30D99" w14:textId="4E055EBF" w:rsidR="0085072D" w:rsidRPr="0038443B" w:rsidRDefault="0085072D" w:rsidP="0085072D">
      <w:pPr>
        <w:jc w:val="center"/>
        <w:rPr>
          <w:rFonts w:ascii="Calibri" w:hAnsi="Calibri" w:cs="Tahoma"/>
          <w:b/>
          <w:color w:val="2A3187"/>
        </w:rPr>
      </w:pPr>
      <w:r w:rsidRPr="0038443B">
        <w:rPr>
          <w:rFonts w:ascii="Calibri" w:hAnsi="Calibri" w:cs="Tahoma"/>
          <w:b/>
          <w:color w:val="2A3187"/>
          <w:sz w:val="32"/>
          <w:szCs w:val="32"/>
        </w:rPr>
        <w:lastRenderedPageBreak/>
        <w:t>Kent Coast Volunteering</w:t>
      </w:r>
    </w:p>
    <w:p w14:paraId="354D612D" w14:textId="2645A252" w:rsidR="0085072D" w:rsidRPr="0038443B" w:rsidRDefault="00C26057" w:rsidP="0085072D">
      <w:pPr>
        <w:pStyle w:val="Heading1"/>
        <w:rPr>
          <w:color w:val="2A3187"/>
        </w:rPr>
      </w:pPr>
      <w:r w:rsidRPr="00C26057">
        <w:rPr>
          <w:color w:val="2A3187"/>
        </w:rPr>
        <w:t xml:space="preserve">Grievance and Disciplinary </w:t>
      </w:r>
      <w:r w:rsidR="00511959">
        <w:rPr>
          <w:color w:val="2A3187"/>
        </w:rPr>
        <w:t>Procedure</w:t>
      </w:r>
    </w:p>
    <w:p w14:paraId="7495D6D5" w14:textId="77777777" w:rsidR="0085072D" w:rsidRDefault="0085072D" w:rsidP="0085072D">
      <w:pPr>
        <w:rPr>
          <w:rFonts w:ascii="Calibri" w:hAnsi="Calibri" w:cs="Tahoma"/>
          <w:caps/>
          <w:sz w:val="20"/>
          <w:szCs w:val="20"/>
        </w:rPr>
      </w:pPr>
    </w:p>
    <w:p w14:paraId="1A7EAC74" w14:textId="77777777" w:rsidR="000B4D7D" w:rsidRDefault="0085072D" w:rsidP="000B4D7D">
      <w:pPr>
        <w:pStyle w:val="PolicySubheading"/>
      </w:pPr>
      <w:r w:rsidRPr="0038443B">
        <w:t>1.0 STATEMENT OF POLICY</w:t>
      </w:r>
    </w:p>
    <w:p w14:paraId="19E9CB31" w14:textId="255137F6" w:rsidR="00F8153A" w:rsidRDefault="00F8153A" w:rsidP="00F8153A">
      <w:pPr>
        <w:pStyle w:val="PolicyText"/>
      </w:pPr>
      <w:r>
        <w:t xml:space="preserve">In instances when a </w:t>
      </w:r>
      <w:r w:rsidR="003606E6">
        <w:t>t</w:t>
      </w:r>
      <w:r>
        <w:t>rustee, paid staff, or volunteer of Kent Coast Volunteering (KCV) submits a complaint, and the ‘</w:t>
      </w:r>
      <w:r w:rsidR="003606E6">
        <w:t>KCV</w:t>
      </w:r>
      <w:r>
        <w:t xml:space="preserve"> Complaints Policy and Procedure’, or an informal discussion, is not appropriate, or unable to resolve a concern, then the Grievance procedures in this document must be followed to reach a solution for all involved.</w:t>
      </w:r>
    </w:p>
    <w:p w14:paraId="3924DF42" w14:textId="77777777" w:rsidR="00F8153A" w:rsidRDefault="00F8153A" w:rsidP="00F8153A">
      <w:pPr>
        <w:pStyle w:val="PolicyText"/>
      </w:pPr>
      <w:r>
        <w:t>Where necessary, disciplinary action will be taken in accordance with the procedures in this document.</w:t>
      </w:r>
    </w:p>
    <w:p w14:paraId="5695B341" w14:textId="69DC6534" w:rsidR="00F8153A" w:rsidRDefault="00F8153A" w:rsidP="00F8153A">
      <w:pPr>
        <w:pStyle w:val="PolicyText"/>
      </w:pPr>
      <w:r>
        <w:t xml:space="preserve">N.B. For the purposes of this policy, the term “employee” includes independent contractors and anyone contractually working for </w:t>
      </w:r>
      <w:r w:rsidR="003606E6">
        <w:t>KCV</w:t>
      </w:r>
      <w:r>
        <w:t xml:space="preserve"> for financial gain or otherwise. The term “volunteer” includes Trustees.</w:t>
      </w:r>
    </w:p>
    <w:p w14:paraId="480A9B01" w14:textId="77777777" w:rsidR="00F8153A" w:rsidRDefault="00F8153A" w:rsidP="003606E6">
      <w:pPr>
        <w:pStyle w:val="PolicySubheading"/>
      </w:pPr>
      <w:r>
        <w:t>1.1 Aims</w:t>
      </w:r>
    </w:p>
    <w:p w14:paraId="59E95FC3" w14:textId="2618590F" w:rsidR="00F8153A" w:rsidRDefault="00F8153A" w:rsidP="00F8153A">
      <w:pPr>
        <w:pStyle w:val="PolicyText"/>
      </w:pPr>
      <w:r>
        <w:t xml:space="preserve">To ensure problems, complaints, or concerns raised by </w:t>
      </w:r>
      <w:r w:rsidR="003606E6">
        <w:t>KCV</w:t>
      </w:r>
      <w:r>
        <w:t>’s employees, or volunteers are dealt with in a fair, timely, and consistent manner.</w:t>
      </w:r>
    </w:p>
    <w:p w14:paraId="690B92FB" w14:textId="77777777" w:rsidR="00F8153A" w:rsidRDefault="00F8153A" w:rsidP="00F8153A">
      <w:pPr>
        <w:pStyle w:val="PolicyText"/>
      </w:pPr>
      <w:r>
        <w:t>Any grievance or complaint regarding their work or volunteering placement; working conditions; pay or benefits; working or volunteering hours; treatment by colleagues or other volunteers (including issues of harassment and bullying); concerns about Health &amp; Safety; or any other issue affecting their employment or volunteering arrangements should be raised in line with this procedure.</w:t>
      </w:r>
    </w:p>
    <w:p w14:paraId="7C128A89" w14:textId="77777777" w:rsidR="00F8153A" w:rsidRDefault="00F8153A" w:rsidP="00F8153A">
      <w:pPr>
        <w:pStyle w:val="PolicyText"/>
      </w:pPr>
      <w:r>
        <w:t>A record of the grievance will be kept in the employee’s or volunteer’s personnel file. Copies of meeting notes will be provided to the employee or volunteer.</w:t>
      </w:r>
    </w:p>
    <w:p w14:paraId="6E59A46D" w14:textId="77777777" w:rsidR="00F8153A" w:rsidRDefault="00F8153A" w:rsidP="003606E6">
      <w:pPr>
        <w:pStyle w:val="PolicySubheading"/>
      </w:pPr>
      <w:r>
        <w:t>2.0 Informal Grievance Procedure</w:t>
      </w:r>
    </w:p>
    <w:p w14:paraId="0005D0C7" w14:textId="44E35CDE" w:rsidR="00F8153A" w:rsidRDefault="00F8153A" w:rsidP="00F8153A">
      <w:pPr>
        <w:pStyle w:val="PolicyText"/>
      </w:pPr>
      <w:r>
        <w:t xml:space="preserve">In the first instance a grievance or complaint should be discussed informally with </w:t>
      </w:r>
      <w:r w:rsidR="003606E6">
        <w:t>an immediate supervisor/co-ordinator</w:t>
      </w:r>
      <w:r>
        <w:t>, in an endeavour to resolve the matter. A written record of the discussion will be made including any proposed action which will be kept on the employee’s or volunteer’s file</w:t>
      </w:r>
      <w:r w:rsidR="003606E6">
        <w:t xml:space="preserve"> for an appropriate amount of time.</w:t>
      </w:r>
    </w:p>
    <w:p w14:paraId="7A271A69" w14:textId="77777777" w:rsidR="00F8153A" w:rsidRDefault="00F8153A" w:rsidP="00F8153A">
      <w:pPr>
        <w:pStyle w:val="PolicyText"/>
      </w:pPr>
      <w:r>
        <w:t>If the grievance cannot be resolved or settled informally, the matter should be dealt with according to the formal grievance procedure.</w:t>
      </w:r>
    </w:p>
    <w:p w14:paraId="492D3039" w14:textId="77777777" w:rsidR="00F8153A" w:rsidRDefault="00F8153A" w:rsidP="003606E6">
      <w:pPr>
        <w:pStyle w:val="PolicySubheading"/>
      </w:pPr>
      <w:r>
        <w:t>3.0 Formal Grievance Procedure</w:t>
      </w:r>
    </w:p>
    <w:p w14:paraId="659FC8B5" w14:textId="77777777" w:rsidR="00F8153A" w:rsidRDefault="00F8153A" w:rsidP="00F8153A">
      <w:pPr>
        <w:pStyle w:val="PolicyText"/>
      </w:pPr>
      <w:r>
        <w:t>Stage 1 – Written Statement</w:t>
      </w:r>
    </w:p>
    <w:p w14:paraId="3DE3A4F7" w14:textId="77777777" w:rsidR="00F8153A" w:rsidRDefault="00F8153A" w:rsidP="00F8153A">
      <w:pPr>
        <w:pStyle w:val="PolicyText"/>
      </w:pPr>
      <w:r>
        <w:t>The aggrieved person must first send a written statement detailing the nature of the alleged grievance to the Chair of the Trustee Board, unless it is the Chair who is the subject of the grievance, in which case the written statement should be sent to another appointed Trustee.</w:t>
      </w:r>
    </w:p>
    <w:p w14:paraId="613C7012" w14:textId="77777777" w:rsidR="00F8153A" w:rsidRDefault="00F8153A" w:rsidP="00F8153A">
      <w:pPr>
        <w:pStyle w:val="PolicyText"/>
      </w:pPr>
      <w:r>
        <w:t>Stage 2 – Investigation and Decision</w:t>
      </w:r>
    </w:p>
    <w:p w14:paraId="66A4424C" w14:textId="77777777" w:rsidR="00F8153A" w:rsidRDefault="00F8153A" w:rsidP="00F8153A">
      <w:pPr>
        <w:pStyle w:val="PolicyText"/>
      </w:pPr>
      <w:r>
        <w:t xml:space="preserve">The Trustee will send a written acknowledgement of the grievance and invite the employee or volunteer to an initial meeting </w:t>
      </w:r>
      <w:proofErr w:type="gramStart"/>
      <w:r>
        <w:t>in order to</w:t>
      </w:r>
      <w:proofErr w:type="gramEnd"/>
      <w:r>
        <w:t xml:space="preserve"> discuss the issue. This first meeting should be within 10 working days from receipt of the grievance.</w:t>
      </w:r>
    </w:p>
    <w:p w14:paraId="46903CB1" w14:textId="77777777" w:rsidR="00F8153A" w:rsidRDefault="00F8153A" w:rsidP="00F8153A">
      <w:pPr>
        <w:pStyle w:val="PolicyText"/>
      </w:pPr>
      <w:r>
        <w:lastRenderedPageBreak/>
        <w:t>Either party may be accompanied by an individual of their choice at any meeting. A written note of the initial meeting and any further meetings must be made by the Trustee and should be signed by both parties.</w:t>
      </w:r>
    </w:p>
    <w:p w14:paraId="26753F66" w14:textId="77777777" w:rsidR="00F8153A" w:rsidRDefault="00F8153A" w:rsidP="00F8153A">
      <w:pPr>
        <w:pStyle w:val="PolicyText"/>
      </w:pPr>
      <w:r>
        <w:t xml:space="preserve">Following the initial meeting the Trustee will </w:t>
      </w:r>
      <w:proofErr w:type="gramStart"/>
      <w:r>
        <w:t>conduct an investigation into</w:t>
      </w:r>
      <w:proofErr w:type="gramEnd"/>
      <w:r>
        <w:t xml:space="preserve"> the grievance in order to establish the facts. Following this investigation and within 10 working days the Trustee shall convene a further meeting with the employee or volunteer </w:t>
      </w:r>
      <w:proofErr w:type="gramStart"/>
      <w:r>
        <w:t>in order to</w:t>
      </w:r>
      <w:proofErr w:type="gramEnd"/>
      <w:r>
        <w:t xml:space="preserve"> discuss the outcome of the investigation and any action that is to be taken.</w:t>
      </w:r>
    </w:p>
    <w:p w14:paraId="7B0DF183" w14:textId="77777777" w:rsidR="00F8153A" w:rsidRDefault="00F8153A" w:rsidP="00F8153A">
      <w:pPr>
        <w:pStyle w:val="PolicyText"/>
      </w:pPr>
      <w:r>
        <w:t>Stage 3 - Appeal</w:t>
      </w:r>
    </w:p>
    <w:p w14:paraId="60F7170A" w14:textId="77777777" w:rsidR="00F8153A" w:rsidRDefault="00F8153A" w:rsidP="00F8153A">
      <w:pPr>
        <w:pStyle w:val="PolicyText"/>
      </w:pPr>
      <w:r>
        <w:t>If the employee or volunteer feels that their grievance has not been satisfactorily resolved, they have the right to raise an appeal. The request for an appeal should be submitted to the Trustee in writing within 10 working days of receiving confirmation of the outcome of the formal grievance procedure.</w:t>
      </w:r>
    </w:p>
    <w:p w14:paraId="023BBC91" w14:textId="77777777" w:rsidR="00F8153A" w:rsidRDefault="00F8153A" w:rsidP="00F8153A">
      <w:pPr>
        <w:pStyle w:val="PolicyText"/>
      </w:pPr>
      <w:r>
        <w:t>The Trustee will arrange a meeting to discuss the appeal within 10 working days. The appeal meeting will be chaired by a Trustee and the decision shall be communicated to the employee or volunteer in writing within 10 working days. Decisions made at this point are final and the grievance procedure is concluded.</w:t>
      </w:r>
    </w:p>
    <w:p w14:paraId="48BDC9A9" w14:textId="77777777" w:rsidR="00F8153A" w:rsidRDefault="00F8153A" w:rsidP="003606E6">
      <w:pPr>
        <w:pStyle w:val="PolicySubheading"/>
      </w:pPr>
      <w:r>
        <w:t>4.0 Disciplinary Procedure Principles</w:t>
      </w:r>
    </w:p>
    <w:p w14:paraId="33EE4113" w14:textId="77777777" w:rsidR="00F8153A" w:rsidRDefault="00F8153A" w:rsidP="00F8153A">
      <w:pPr>
        <w:pStyle w:val="PolicyText"/>
      </w:pPr>
      <w:r>
        <w:t>If an employee or Volunteer’s conduct or performance is unacceptable then disciplinary action may be taken. In all cases this is aimed to be corrective, and all employees and volunteers will be provided with assistance to achieve the expected standards of conduct and performance.</w:t>
      </w:r>
    </w:p>
    <w:p w14:paraId="564336DD" w14:textId="1E268D45" w:rsidR="00F8153A" w:rsidRDefault="003606E6" w:rsidP="00F8153A">
      <w:pPr>
        <w:pStyle w:val="PolicyText"/>
      </w:pPr>
      <w:r>
        <w:t>KCV</w:t>
      </w:r>
      <w:r w:rsidR="00F8153A">
        <w:t xml:space="preserve"> consider the actions needed based on the following principles:</w:t>
      </w:r>
    </w:p>
    <w:p w14:paraId="6B9CA8A1" w14:textId="77777777" w:rsidR="00F8153A" w:rsidRDefault="00F8153A" w:rsidP="003606E6">
      <w:pPr>
        <w:pStyle w:val="PolicyText"/>
        <w:numPr>
          <w:ilvl w:val="0"/>
          <w:numId w:val="26"/>
        </w:numPr>
      </w:pPr>
      <w:r>
        <w:t>No disciplinary action will be taken against an employee or volunteer until the case has been fully investigated.</w:t>
      </w:r>
    </w:p>
    <w:p w14:paraId="73FE1B5A" w14:textId="77777777" w:rsidR="00F8153A" w:rsidRDefault="00F8153A" w:rsidP="003606E6">
      <w:pPr>
        <w:pStyle w:val="PolicyText"/>
        <w:numPr>
          <w:ilvl w:val="0"/>
          <w:numId w:val="26"/>
        </w:numPr>
      </w:pPr>
      <w:r>
        <w:t>At every stage in the procedure the employee or volunteer will be advised of the nature of the complaint against them and will be given the opportunity to state their case before any decision is made.</w:t>
      </w:r>
    </w:p>
    <w:p w14:paraId="766C3711" w14:textId="77777777" w:rsidR="00F8153A" w:rsidRDefault="00F8153A" w:rsidP="003606E6">
      <w:pPr>
        <w:pStyle w:val="PolicyText"/>
        <w:numPr>
          <w:ilvl w:val="0"/>
          <w:numId w:val="26"/>
        </w:numPr>
      </w:pPr>
      <w:r>
        <w:t xml:space="preserve">The employee or volunteer will have the right to be accompanied by a fellow worker, </w:t>
      </w:r>
      <w:proofErr w:type="gramStart"/>
      <w:r>
        <w:t>friend</w:t>
      </w:r>
      <w:proofErr w:type="gramEnd"/>
      <w:r>
        <w:t xml:space="preserve"> or non-legal representative during a formal disciplinary interview. </w:t>
      </w:r>
    </w:p>
    <w:p w14:paraId="30896C41" w14:textId="77777777" w:rsidR="00F8153A" w:rsidRDefault="00F8153A" w:rsidP="003606E6">
      <w:pPr>
        <w:pStyle w:val="PolicyText"/>
        <w:numPr>
          <w:ilvl w:val="0"/>
          <w:numId w:val="26"/>
        </w:numPr>
      </w:pPr>
      <w:r>
        <w:t xml:space="preserve">No employee or volunteer will be dismissed for a first breach of discipline, except in the case of gross misconduct, when the penalty will be dismissal without notice or payment in lieu of notice. </w:t>
      </w:r>
    </w:p>
    <w:p w14:paraId="230AD4CE" w14:textId="77777777" w:rsidR="00F8153A" w:rsidRDefault="00F8153A" w:rsidP="003606E6">
      <w:pPr>
        <w:pStyle w:val="PolicyText"/>
        <w:numPr>
          <w:ilvl w:val="0"/>
          <w:numId w:val="26"/>
        </w:numPr>
      </w:pPr>
      <w:r>
        <w:t>The employee or volunteer will be given a full explanation of the breach being disciplined and any penalty imposed.</w:t>
      </w:r>
    </w:p>
    <w:p w14:paraId="7192987B" w14:textId="77777777" w:rsidR="00F8153A" w:rsidRDefault="00F8153A" w:rsidP="003606E6">
      <w:pPr>
        <w:pStyle w:val="PolicyText"/>
        <w:numPr>
          <w:ilvl w:val="0"/>
          <w:numId w:val="26"/>
        </w:numPr>
      </w:pPr>
      <w:r>
        <w:t>The employee or volunteer will have the right to appeal against any disciplinary penalty imposed.</w:t>
      </w:r>
    </w:p>
    <w:p w14:paraId="1FF0A8FC" w14:textId="77777777" w:rsidR="00F8153A" w:rsidRDefault="00F8153A" w:rsidP="003606E6">
      <w:pPr>
        <w:pStyle w:val="PolicyText"/>
        <w:numPr>
          <w:ilvl w:val="0"/>
          <w:numId w:val="26"/>
        </w:numPr>
      </w:pPr>
      <w:r>
        <w:t>The procedure may be implemented at any stage if the employee or volunteer’s alleged misconduct warrants such action.</w:t>
      </w:r>
    </w:p>
    <w:p w14:paraId="6E8FA097" w14:textId="77777777" w:rsidR="00F8153A" w:rsidRDefault="00F8153A" w:rsidP="003606E6">
      <w:pPr>
        <w:pStyle w:val="PolicyText"/>
        <w:numPr>
          <w:ilvl w:val="0"/>
          <w:numId w:val="26"/>
        </w:numPr>
      </w:pPr>
      <w:r>
        <w:t>There will always be at least two members of the organisation (staff and/or Trustees) present at each stage of the disciplinary process (excluding, or in addition to the employee or volunteer).</w:t>
      </w:r>
    </w:p>
    <w:p w14:paraId="73FA05C0" w14:textId="0C103A7A" w:rsidR="00F8153A" w:rsidRDefault="00F8153A" w:rsidP="00F8153A">
      <w:pPr>
        <w:pStyle w:val="PolicyText"/>
        <w:numPr>
          <w:ilvl w:val="0"/>
          <w:numId w:val="26"/>
        </w:numPr>
      </w:pPr>
      <w:r>
        <w:lastRenderedPageBreak/>
        <w:t>All records relating to the proceedings will be kept confidential.</w:t>
      </w:r>
    </w:p>
    <w:p w14:paraId="59BB814C" w14:textId="77777777" w:rsidR="00F8153A" w:rsidRDefault="00F8153A" w:rsidP="003606E6">
      <w:pPr>
        <w:pStyle w:val="PolicySubheading"/>
      </w:pPr>
      <w:r>
        <w:t>4.1 Disciplinary Procedure</w:t>
      </w:r>
    </w:p>
    <w:p w14:paraId="095C25D7" w14:textId="77777777" w:rsidR="00F8153A" w:rsidRDefault="00F8153A" w:rsidP="00F8153A">
      <w:pPr>
        <w:pStyle w:val="PolicyText"/>
      </w:pPr>
      <w:r>
        <w:t>Minor faults will be dealt with informally but where the matter is more serious, the following procedure will be used:</w:t>
      </w:r>
    </w:p>
    <w:p w14:paraId="2F246BCB" w14:textId="77777777" w:rsidR="00F8153A" w:rsidRDefault="00F8153A" w:rsidP="00F8153A">
      <w:pPr>
        <w:pStyle w:val="PolicyText"/>
      </w:pPr>
      <w:r>
        <w:t xml:space="preserve">Stage 1 – Oral Warning </w:t>
      </w:r>
    </w:p>
    <w:p w14:paraId="2348178D" w14:textId="77777777" w:rsidR="00F8153A" w:rsidRDefault="00F8153A" w:rsidP="00F8153A">
      <w:pPr>
        <w:pStyle w:val="PolicyText"/>
      </w:pPr>
      <w:r>
        <w:t>If conduct or performance does not meet acceptable standards, the employee or volunteer will normally be given a formal oral warning by the Chair of Trustees.</w:t>
      </w:r>
    </w:p>
    <w:p w14:paraId="1FBC36AB" w14:textId="77777777" w:rsidR="00F8153A" w:rsidRDefault="00F8153A" w:rsidP="00F8153A">
      <w:pPr>
        <w:pStyle w:val="PolicyText"/>
      </w:pPr>
      <w:r>
        <w:t>They will be advised of the reason for the warning, that it is the first stage of the disciplinary procedure and of their right of appeal.</w:t>
      </w:r>
    </w:p>
    <w:p w14:paraId="128A0BAD" w14:textId="77777777" w:rsidR="00F8153A" w:rsidRDefault="00F8153A" w:rsidP="00F8153A">
      <w:pPr>
        <w:pStyle w:val="PolicyText"/>
      </w:pPr>
      <w:r>
        <w:t xml:space="preserve">A brief note of the oral warning will be kept in the employee or volunteer’s file, but it will be spent after six months, subject to satisfactory conduct and performance. </w:t>
      </w:r>
    </w:p>
    <w:p w14:paraId="54EE9F3F" w14:textId="77777777" w:rsidR="00F8153A" w:rsidRDefault="00F8153A" w:rsidP="00F8153A">
      <w:pPr>
        <w:pStyle w:val="PolicyText"/>
      </w:pPr>
      <w:r>
        <w:t xml:space="preserve">Stage 2 – Written Warning </w:t>
      </w:r>
    </w:p>
    <w:p w14:paraId="616024F4" w14:textId="77777777" w:rsidR="00F8153A" w:rsidRDefault="00F8153A" w:rsidP="00F8153A">
      <w:pPr>
        <w:pStyle w:val="PolicyText"/>
      </w:pPr>
      <w:r>
        <w:t xml:space="preserve">If the offence is a serious one or if a further offence occurs, a written warning will be given to the employee or volunteer by the Chair of Trustees. </w:t>
      </w:r>
    </w:p>
    <w:p w14:paraId="40768227" w14:textId="77777777" w:rsidR="00F8153A" w:rsidRDefault="00F8153A" w:rsidP="00F8153A">
      <w:pPr>
        <w:pStyle w:val="PolicyText"/>
      </w:pPr>
      <w:r>
        <w:t>This will give details of the complaint, the improvement required and the timescale.</w:t>
      </w:r>
    </w:p>
    <w:p w14:paraId="1D6BE005" w14:textId="77777777" w:rsidR="00F8153A" w:rsidRDefault="00F8153A" w:rsidP="00F8153A">
      <w:pPr>
        <w:pStyle w:val="PolicyText"/>
      </w:pPr>
      <w:r>
        <w:t xml:space="preserve">It will warn that action under Stage 3 will be considered if there is no satisfactory improvement and will advise of the right of appeal. </w:t>
      </w:r>
    </w:p>
    <w:p w14:paraId="4E7DEF17" w14:textId="77777777" w:rsidR="00F8153A" w:rsidRDefault="00F8153A" w:rsidP="00F8153A">
      <w:pPr>
        <w:pStyle w:val="PolicyText"/>
      </w:pPr>
      <w:r>
        <w:t xml:space="preserve">The Chair of Trustees will keep a copy of this written warning, but it will be disregarded for disciplinary purposes after 12 months, subject to satisfactory conduct and performance. </w:t>
      </w:r>
    </w:p>
    <w:p w14:paraId="504A25F0" w14:textId="77777777" w:rsidR="00F8153A" w:rsidRDefault="00F8153A" w:rsidP="00F8153A">
      <w:pPr>
        <w:pStyle w:val="PolicyText"/>
      </w:pPr>
      <w:r>
        <w:t xml:space="preserve">Stage 3 -Final Written Warning or Disciplinary Suspension </w:t>
      </w:r>
    </w:p>
    <w:p w14:paraId="479E4732" w14:textId="77777777" w:rsidR="00F8153A" w:rsidRDefault="00F8153A" w:rsidP="00F8153A">
      <w:pPr>
        <w:pStyle w:val="PolicyText"/>
      </w:pPr>
      <w:r>
        <w:t xml:space="preserve">If there is still a failure to improve and conduct or performance is still unsatisfactory, or if the misconduct is sufficiently serious to warrant only one written warning but insufficiently serious to justify dismissal (in effect both first and final written warning), a final written warning will normally be given to the employee or volunteer by the Chair of Trustees. </w:t>
      </w:r>
    </w:p>
    <w:p w14:paraId="1E1E2F4B" w14:textId="77777777" w:rsidR="00F8153A" w:rsidRDefault="00F8153A" w:rsidP="00F8153A">
      <w:pPr>
        <w:pStyle w:val="PolicyText"/>
      </w:pPr>
      <w:r>
        <w:t xml:space="preserve">This will give details of the complaint, will warn that dismissal will result if there is no satisfactory improvement and will advise of the right of appeal. </w:t>
      </w:r>
    </w:p>
    <w:p w14:paraId="070919D4" w14:textId="77777777" w:rsidR="00F8153A" w:rsidRDefault="00F8153A" w:rsidP="00F8153A">
      <w:pPr>
        <w:pStyle w:val="PolicyText"/>
      </w:pPr>
      <w:r>
        <w:t xml:space="preserve">A copy of this final written warning will be kept by the Chair of Trustees, but it will be spent after two years (in exceptional circumstance the period may be longer) subject to satisfactory conduct and performance. </w:t>
      </w:r>
    </w:p>
    <w:p w14:paraId="03309BBB" w14:textId="77777777" w:rsidR="00F8153A" w:rsidRDefault="00F8153A" w:rsidP="00F8153A">
      <w:pPr>
        <w:pStyle w:val="PolicyText"/>
      </w:pPr>
      <w:r>
        <w:t xml:space="preserve">Stage 4 – Dismissal </w:t>
      </w:r>
    </w:p>
    <w:p w14:paraId="7AD313DF" w14:textId="77777777" w:rsidR="00F8153A" w:rsidRDefault="00F8153A" w:rsidP="00F8153A">
      <w:pPr>
        <w:pStyle w:val="PolicyText"/>
      </w:pPr>
      <w:r>
        <w:t xml:space="preserve">If conduct or performance is still unsatisfactory and the employee or volunteer still fails to reach the prescribed standards, dismissal will normally result. </w:t>
      </w:r>
    </w:p>
    <w:p w14:paraId="0EAE4209" w14:textId="77777777" w:rsidR="00F8153A" w:rsidRDefault="00F8153A" w:rsidP="00F8153A">
      <w:pPr>
        <w:pStyle w:val="PolicyText"/>
      </w:pPr>
      <w:r>
        <w:t>Only two Trustees can jointly take the decision to dismiss.</w:t>
      </w:r>
    </w:p>
    <w:p w14:paraId="4E280C97" w14:textId="77777777" w:rsidR="00F8153A" w:rsidRDefault="00F8153A" w:rsidP="00F8153A">
      <w:pPr>
        <w:pStyle w:val="PolicyText"/>
      </w:pPr>
      <w:r>
        <w:t xml:space="preserve">The employee or volunteer will be provided, as soon as reasonably practicable, with written reasons for dismissal, the date on which their employment or voluntary position will terminate, and details of their right to appeal. </w:t>
      </w:r>
    </w:p>
    <w:p w14:paraId="1D321F50" w14:textId="77777777" w:rsidR="00F8153A" w:rsidRDefault="00F8153A" w:rsidP="003606E6">
      <w:pPr>
        <w:pStyle w:val="PolicySubheading"/>
      </w:pPr>
      <w:r>
        <w:t xml:space="preserve">4.2 Gross Misconduct </w:t>
      </w:r>
    </w:p>
    <w:p w14:paraId="26E80539" w14:textId="77777777" w:rsidR="00F8153A" w:rsidRDefault="00F8153A" w:rsidP="00F8153A">
      <w:pPr>
        <w:pStyle w:val="PolicyText"/>
      </w:pPr>
      <w:r>
        <w:t xml:space="preserve">The following list provides examples of offences which are normally regarded as gross misconduct, but this is not an exhaustive list: </w:t>
      </w:r>
    </w:p>
    <w:p w14:paraId="2E1D2849" w14:textId="77777777" w:rsidR="00F8153A" w:rsidRDefault="00F8153A" w:rsidP="007B5A40">
      <w:pPr>
        <w:pStyle w:val="PolicyText"/>
        <w:numPr>
          <w:ilvl w:val="0"/>
          <w:numId w:val="27"/>
        </w:numPr>
      </w:pPr>
      <w:r>
        <w:lastRenderedPageBreak/>
        <w:t>Theft</w:t>
      </w:r>
    </w:p>
    <w:p w14:paraId="2F9F446C" w14:textId="77777777" w:rsidR="00F8153A" w:rsidRDefault="00F8153A" w:rsidP="007B5A40">
      <w:pPr>
        <w:pStyle w:val="PolicyText"/>
        <w:numPr>
          <w:ilvl w:val="0"/>
          <w:numId w:val="27"/>
        </w:numPr>
      </w:pPr>
      <w:r>
        <w:t>Fraud</w:t>
      </w:r>
    </w:p>
    <w:p w14:paraId="0C10BD27" w14:textId="77777777" w:rsidR="00F8153A" w:rsidRDefault="00F8153A" w:rsidP="007B5A40">
      <w:pPr>
        <w:pStyle w:val="PolicyText"/>
        <w:numPr>
          <w:ilvl w:val="0"/>
          <w:numId w:val="27"/>
        </w:numPr>
      </w:pPr>
      <w:r>
        <w:t>Deliberate falsification of records</w:t>
      </w:r>
    </w:p>
    <w:p w14:paraId="79353371" w14:textId="77777777" w:rsidR="00F8153A" w:rsidRDefault="00F8153A" w:rsidP="007B5A40">
      <w:pPr>
        <w:pStyle w:val="PolicyText"/>
        <w:numPr>
          <w:ilvl w:val="0"/>
          <w:numId w:val="27"/>
        </w:numPr>
      </w:pPr>
      <w:r>
        <w:t>Physical violence</w:t>
      </w:r>
    </w:p>
    <w:p w14:paraId="090371B0" w14:textId="77777777" w:rsidR="00F8153A" w:rsidRDefault="00F8153A" w:rsidP="007B5A40">
      <w:pPr>
        <w:pStyle w:val="PolicyText"/>
        <w:numPr>
          <w:ilvl w:val="0"/>
          <w:numId w:val="27"/>
        </w:numPr>
      </w:pPr>
      <w:r>
        <w:t>Serious bullying or harassment</w:t>
      </w:r>
    </w:p>
    <w:p w14:paraId="642D1552" w14:textId="77777777" w:rsidR="00F8153A" w:rsidRDefault="00F8153A" w:rsidP="007B5A40">
      <w:pPr>
        <w:pStyle w:val="PolicyText"/>
        <w:numPr>
          <w:ilvl w:val="0"/>
          <w:numId w:val="27"/>
        </w:numPr>
      </w:pPr>
      <w:r>
        <w:t>Deliberate damage to property</w:t>
      </w:r>
    </w:p>
    <w:p w14:paraId="3097E752" w14:textId="77777777" w:rsidR="00F8153A" w:rsidRDefault="00F8153A" w:rsidP="007B5A40">
      <w:pPr>
        <w:pStyle w:val="PolicyText"/>
        <w:numPr>
          <w:ilvl w:val="0"/>
          <w:numId w:val="27"/>
        </w:numPr>
      </w:pPr>
      <w:r>
        <w:t>Serious act of insubordination</w:t>
      </w:r>
    </w:p>
    <w:p w14:paraId="4E920A48" w14:textId="77777777" w:rsidR="00F8153A" w:rsidRDefault="00F8153A" w:rsidP="007B5A40">
      <w:pPr>
        <w:pStyle w:val="PolicyText"/>
        <w:numPr>
          <w:ilvl w:val="0"/>
          <w:numId w:val="27"/>
        </w:numPr>
      </w:pPr>
      <w:r>
        <w:t xml:space="preserve">Misuse of the organisation’s property or name </w:t>
      </w:r>
    </w:p>
    <w:p w14:paraId="53A14FA9" w14:textId="77777777" w:rsidR="00F8153A" w:rsidRDefault="00F8153A" w:rsidP="007B5A40">
      <w:pPr>
        <w:pStyle w:val="PolicyText"/>
        <w:numPr>
          <w:ilvl w:val="0"/>
          <w:numId w:val="27"/>
        </w:numPr>
      </w:pPr>
      <w:r>
        <w:t xml:space="preserve">Bringing the organisation into serious disrepute </w:t>
      </w:r>
    </w:p>
    <w:p w14:paraId="6E79E89F" w14:textId="77777777" w:rsidR="00F8153A" w:rsidRDefault="00F8153A" w:rsidP="007B5A40">
      <w:pPr>
        <w:pStyle w:val="PolicyText"/>
        <w:numPr>
          <w:ilvl w:val="0"/>
          <w:numId w:val="27"/>
        </w:numPr>
      </w:pPr>
      <w:r>
        <w:t xml:space="preserve">Serious incapability through alcohol or being under the influence of illegal </w:t>
      </w:r>
      <w:proofErr w:type="gramStart"/>
      <w:r>
        <w:t>drugs</w:t>
      </w:r>
      <w:proofErr w:type="gramEnd"/>
    </w:p>
    <w:p w14:paraId="55DE20FC" w14:textId="77777777" w:rsidR="00F8153A" w:rsidRDefault="00F8153A" w:rsidP="007B5A40">
      <w:pPr>
        <w:pStyle w:val="PolicyText"/>
        <w:numPr>
          <w:ilvl w:val="0"/>
          <w:numId w:val="27"/>
        </w:numPr>
      </w:pPr>
      <w:r>
        <w:t xml:space="preserve">Serious negligence which causes unacceptable loss, </w:t>
      </w:r>
      <w:proofErr w:type="gramStart"/>
      <w:r>
        <w:t>damage</w:t>
      </w:r>
      <w:proofErr w:type="gramEnd"/>
      <w:r>
        <w:t xml:space="preserve"> or injury</w:t>
      </w:r>
    </w:p>
    <w:p w14:paraId="45A43BE3" w14:textId="77777777" w:rsidR="00F8153A" w:rsidRDefault="00F8153A" w:rsidP="007B5A40">
      <w:pPr>
        <w:pStyle w:val="PolicyText"/>
        <w:numPr>
          <w:ilvl w:val="0"/>
          <w:numId w:val="27"/>
        </w:numPr>
      </w:pPr>
      <w:r>
        <w:t>Serious infringement of health and safety rules</w:t>
      </w:r>
    </w:p>
    <w:p w14:paraId="489A5339" w14:textId="77777777" w:rsidR="00F8153A" w:rsidRDefault="00F8153A" w:rsidP="007B5A40">
      <w:pPr>
        <w:pStyle w:val="PolicyText"/>
        <w:numPr>
          <w:ilvl w:val="0"/>
          <w:numId w:val="27"/>
        </w:numPr>
      </w:pPr>
      <w:r>
        <w:t>Serious breach of confidence</w:t>
      </w:r>
    </w:p>
    <w:p w14:paraId="637790CA" w14:textId="77777777" w:rsidR="00F8153A" w:rsidRDefault="00F8153A" w:rsidP="007B5A40">
      <w:pPr>
        <w:pStyle w:val="PolicyText"/>
        <w:numPr>
          <w:ilvl w:val="0"/>
          <w:numId w:val="27"/>
        </w:numPr>
      </w:pPr>
      <w:r>
        <w:t xml:space="preserve">Repeated refusal to obey reasonable </w:t>
      </w:r>
      <w:proofErr w:type="gramStart"/>
      <w:r>
        <w:t>instructions</w:t>
      </w:r>
      <w:proofErr w:type="gramEnd"/>
    </w:p>
    <w:p w14:paraId="7CFA827A" w14:textId="77777777" w:rsidR="00F8153A" w:rsidRDefault="00F8153A" w:rsidP="007B5A40">
      <w:pPr>
        <w:pStyle w:val="PolicyText"/>
        <w:numPr>
          <w:ilvl w:val="0"/>
          <w:numId w:val="27"/>
        </w:numPr>
      </w:pPr>
      <w:r>
        <w:t xml:space="preserve">Unauthorised entry to computer records </w:t>
      </w:r>
    </w:p>
    <w:p w14:paraId="316C6E25" w14:textId="77777777" w:rsidR="00F8153A" w:rsidRDefault="00F8153A" w:rsidP="00F8153A">
      <w:pPr>
        <w:pStyle w:val="PolicyText"/>
      </w:pPr>
      <w:r>
        <w:t xml:space="preserve">If an employee is accused of an act of gross misconduct, they may be suspended from work on full pay, normally for no more than 10 working days, while the organisation investigates the alleged offence. </w:t>
      </w:r>
    </w:p>
    <w:p w14:paraId="27CA439B" w14:textId="77777777" w:rsidR="00F8153A" w:rsidRDefault="00F8153A" w:rsidP="00F8153A">
      <w:pPr>
        <w:pStyle w:val="PolicyText"/>
      </w:pPr>
      <w:r>
        <w:t xml:space="preserve">If, on completion of the investigation and a full disciplinary hearing, the organisation is satisfied that gross misconduct has occurred, the result will normally be summary dismissal without notice or payment in lieu of notice. </w:t>
      </w:r>
    </w:p>
    <w:p w14:paraId="159053B3" w14:textId="77777777" w:rsidR="00F8153A" w:rsidRDefault="00F8153A" w:rsidP="00F8153A">
      <w:pPr>
        <w:pStyle w:val="PolicyText"/>
      </w:pPr>
      <w:r>
        <w:t xml:space="preserve">The hearing will be conducted by two Trustees. The employee will normally be informed of the decision of the hearing within two working days. </w:t>
      </w:r>
    </w:p>
    <w:p w14:paraId="5CE7AAF4" w14:textId="77777777" w:rsidR="00F8153A" w:rsidRDefault="00F8153A" w:rsidP="007B5A40">
      <w:pPr>
        <w:pStyle w:val="PolicySubheading"/>
      </w:pPr>
      <w:r>
        <w:t xml:space="preserve">4.3 Appeals </w:t>
      </w:r>
    </w:p>
    <w:p w14:paraId="3E9643EF" w14:textId="77777777" w:rsidR="00F8153A" w:rsidRDefault="00F8153A" w:rsidP="00F8153A">
      <w:pPr>
        <w:pStyle w:val="PolicyText"/>
      </w:pPr>
      <w:r>
        <w:t>An employee or volunteer who wishes to appeal against a disciplinary decision should inform the Chair of Trustees, in writing, within five working days.</w:t>
      </w:r>
    </w:p>
    <w:p w14:paraId="25B8F3E1" w14:textId="77777777" w:rsidR="00F8153A" w:rsidRDefault="00F8153A" w:rsidP="00F8153A">
      <w:pPr>
        <w:pStyle w:val="PolicyText"/>
      </w:pPr>
      <w:r>
        <w:t xml:space="preserve">The Notice of Appeal must state whether you are appealing against the conduct of the hearing, its findings, the penalties imposed, or a combination of these factors, and the supporting reasons for your appeal. </w:t>
      </w:r>
    </w:p>
    <w:p w14:paraId="4370C03A" w14:textId="77777777" w:rsidR="00F8153A" w:rsidRDefault="00F8153A" w:rsidP="00F8153A">
      <w:pPr>
        <w:pStyle w:val="PolicyText"/>
      </w:pPr>
      <w:r>
        <w:t xml:space="preserve">Three Trustees who have not been involved in the disciplinary process will hear all appeals, normally within ten working days, and their decision is final. At the appeal any disciplinary penalty imposed will be reviewed but it cannot be increased. </w:t>
      </w:r>
    </w:p>
    <w:p w14:paraId="578B4178" w14:textId="77777777" w:rsidR="00F8153A" w:rsidRDefault="00F8153A" w:rsidP="00F8153A">
      <w:pPr>
        <w:pStyle w:val="PolicyText"/>
      </w:pPr>
      <w:r>
        <w:t xml:space="preserve">The findings, decision, and outcome of the Appeal Hearing will be confirmed to you in writing. </w:t>
      </w:r>
    </w:p>
    <w:p w14:paraId="145B6E9D" w14:textId="77777777" w:rsidR="00F8153A" w:rsidRDefault="00F8153A" w:rsidP="00F8153A">
      <w:pPr>
        <w:pStyle w:val="PolicyText"/>
      </w:pPr>
      <w:r>
        <w:t xml:space="preserve">No further right of appeal will be available to the employee within the organisation. </w:t>
      </w:r>
    </w:p>
    <w:p w14:paraId="12AF4498" w14:textId="77777777" w:rsidR="00F8153A" w:rsidRDefault="00F8153A" w:rsidP="007B5A40">
      <w:pPr>
        <w:pStyle w:val="PolicySubheading"/>
      </w:pPr>
      <w:r>
        <w:t>4.4 Right to be Accompanied</w:t>
      </w:r>
    </w:p>
    <w:p w14:paraId="68E7409A" w14:textId="77777777" w:rsidR="00F8153A" w:rsidRDefault="00F8153A" w:rsidP="00F8153A">
      <w:pPr>
        <w:pStyle w:val="PolicyText"/>
      </w:pPr>
      <w:r>
        <w:lastRenderedPageBreak/>
        <w:t xml:space="preserve">At all stages the employee or volunteer has a right to be accompanied by a colleague, </w:t>
      </w:r>
      <w:proofErr w:type="gramStart"/>
      <w:r>
        <w:t>friend</w:t>
      </w:r>
      <w:proofErr w:type="gramEnd"/>
      <w:r>
        <w:t xml:space="preserve"> or non-legal representative. </w:t>
      </w:r>
    </w:p>
    <w:p w14:paraId="276F8C7A" w14:textId="04E5429A" w:rsidR="00E9432B" w:rsidRDefault="00F8153A" w:rsidP="00F8153A">
      <w:pPr>
        <w:pStyle w:val="PolicyText"/>
      </w:pPr>
      <w:r>
        <w:t>If the employee wishes to take advantage of this right, they must inform the Chair of Trustees at least two days before any meeting. Such requests must be acknowledged in writing by email.</w:t>
      </w:r>
    </w:p>
    <w:sectPr w:rsidR="00E9432B" w:rsidSect="001D21E9">
      <w:headerReference w:type="default" r:id="rId13"/>
      <w:footerReference w:type="default" r:id="rId14"/>
      <w:pgSz w:w="11906" w:h="16838"/>
      <w:pgMar w:top="1440" w:right="1440" w:bottom="1440"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AADE" w14:textId="77777777" w:rsidR="002E5985" w:rsidRDefault="002E5985" w:rsidP="001D21E9">
      <w:r>
        <w:separator/>
      </w:r>
    </w:p>
  </w:endnote>
  <w:endnote w:type="continuationSeparator" w:id="0">
    <w:p w14:paraId="742D91C1" w14:textId="77777777" w:rsidR="002E5985" w:rsidRDefault="002E5985" w:rsidP="001D21E9">
      <w:r>
        <w:continuationSeparator/>
      </w:r>
    </w:p>
  </w:endnote>
  <w:endnote w:type="continuationNotice" w:id="1">
    <w:p w14:paraId="6605AE71" w14:textId="77777777" w:rsidR="00536C57" w:rsidRDefault="00536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A00" w14:textId="77777777" w:rsidR="001D21E9" w:rsidRDefault="001D21E9" w:rsidP="001D21E9">
    <w:pPr>
      <w:pStyle w:val="Default"/>
      <w:rPr>
        <w:color w:val="auto"/>
      </w:rPr>
    </w:pPr>
  </w:p>
  <w:tbl>
    <w:tblPr>
      <w:tblW w:w="0" w:type="auto"/>
      <w:tblLook w:val="04A0" w:firstRow="1" w:lastRow="0" w:firstColumn="1" w:lastColumn="0" w:noHBand="0" w:noVBand="1"/>
    </w:tblPr>
    <w:tblGrid>
      <w:gridCol w:w="4517"/>
      <w:gridCol w:w="4509"/>
    </w:tblGrid>
    <w:tr w:rsidR="001D21E9" w:rsidRPr="001D21E9" w14:paraId="2442EC68" w14:textId="77777777" w:rsidTr="0022753D">
      <w:trPr>
        <w:trHeight w:val="142"/>
      </w:trPr>
      <w:tc>
        <w:tcPr>
          <w:tcW w:w="4621" w:type="dxa"/>
          <w:shd w:val="clear" w:color="auto" w:fill="auto"/>
        </w:tcPr>
        <w:p w14:paraId="41467E16" w14:textId="77777777" w:rsidR="001D21E9" w:rsidRPr="001D21E9" w:rsidRDefault="001D21E9" w:rsidP="001D21E9">
          <w:pPr>
            <w:pStyle w:val="Default"/>
            <w:rPr>
              <w:rFonts w:ascii="Calibri" w:hAnsi="Calibri" w:cs="Calibri"/>
              <w:color w:val="2A3187"/>
              <w:sz w:val="22"/>
              <w:szCs w:val="22"/>
            </w:rPr>
          </w:pPr>
          <w:r w:rsidRPr="001D21E9">
            <w:rPr>
              <w:rFonts w:ascii="Calibri" w:hAnsi="Calibri" w:cs="Calibri"/>
              <w:color w:val="2A3187"/>
              <w:sz w:val="22"/>
              <w:szCs w:val="22"/>
            </w:rPr>
            <w:tab/>
          </w:r>
        </w:p>
      </w:tc>
      <w:tc>
        <w:tcPr>
          <w:tcW w:w="4621" w:type="dxa"/>
          <w:shd w:val="clear" w:color="auto" w:fill="auto"/>
        </w:tcPr>
        <w:p w14:paraId="485FF4E6" w14:textId="77777777" w:rsidR="001D21E9" w:rsidRPr="001D21E9" w:rsidRDefault="001D21E9" w:rsidP="001D21E9">
          <w:pPr>
            <w:pStyle w:val="Default"/>
            <w:jc w:val="right"/>
            <w:rPr>
              <w:rFonts w:ascii="Calibri" w:hAnsi="Calibri" w:cs="Calibri"/>
              <w:color w:val="2A3187"/>
              <w:sz w:val="22"/>
              <w:szCs w:val="22"/>
            </w:rPr>
          </w:pPr>
          <w:r w:rsidRPr="001D21E9">
            <w:rPr>
              <w:rFonts w:ascii="Calibri" w:hAnsi="Calibri" w:cs="Calibri"/>
              <w:color w:val="2A3187"/>
              <w:sz w:val="22"/>
              <w:szCs w:val="22"/>
            </w:rPr>
            <w:t xml:space="preserve">Page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PAGE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3</w:t>
          </w:r>
          <w:r w:rsidRPr="001D21E9">
            <w:rPr>
              <w:rFonts w:ascii="Calibri" w:hAnsi="Calibri" w:cs="Calibri"/>
              <w:color w:val="2A3187"/>
              <w:sz w:val="22"/>
              <w:szCs w:val="22"/>
            </w:rPr>
            <w:fldChar w:fldCharType="end"/>
          </w:r>
          <w:r w:rsidRPr="001D21E9">
            <w:rPr>
              <w:rFonts w:ascii="Calibri" w:hAnsi="Calibri" w:cs="Calibri"/>
              <w:color w:val="2A3187"/>
              <w:sz w:val="22"/>
              <w:szCs w:val="22"/>
            </w:rPr>
            <w:t xml:space="preserve"> of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NUMPAGES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4</w:t>
          </w:r>
          <w:r w:rsidRPr="001D21E9">
            <w:rPr>
              <w:rFonts w:ascii="Calibri" w:hAnsi="Calibri" w:cs="Calibri"/>
              <w:color w:val="2A3187"/>
              <w:sz w:val="22"/>
              <w:szCs w:val="22"/>
            </w:rPr>
            <w:fldChar w:fldCharType="end"/>
          </w:r>
        </w:p>
      </w:tc>
    </w:tr>
  </w:tbl>
  <w:p w14:paraId="367404E2" w14:textId="77777777" w:rsidR="001D21E9" w:rsidRPr="001D21E9" w:rsidRDefault="001D21E9" w:rsidP="001D21E9">
    <w:pPr>
      <w:pStyle w:val="Default"/>
    </w:pPr>
    <w:r>
      <w:rPr>
        <w:rFonts w:cs="Tahoma"/>
        <w:color w:val="002060"/>
      </w:rPr>
      <w:tab/>
    </w:r>
    <w:r>
      <w:rPr>
        <w:rFonts w:cs="Tahoma"/>
        <w:color w:val="002060"/>
      </w:rPr>
      <w:tab/>
    </w:r>
    <w:r>
      <w:rPr>
        <w:rFonts w:cs="Tahoma"/>
        <w:color w:val="002060"/>
      </w:rPr>
      <w:tab/>
    </w:r>
    <w:r>
      <w:rPr>
        <w:rFonts w:cs="Tahoma"/>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106D" w14:textId="77777777" w:rsidR="002E5985" w:rsidRDefault="002E5985" w:rsidP="001D21E9">
      <w:r>
        <w:separator/>
      </w:r>
    </w:p>
  </w:footnote>
  <w:footnote w:type="continuationSeparator" w:id="0">
    <w:p w14:paraId="665C8F64" w14:textId="77777777" w:rsidR="002E5985" w:rsidRDefault="002E5985" w:rsidP="001D21E9">
      <w:r>
        <w:continuationSeparator/>
      </w:r>
    </w:p>
  </w:footnote>
  <w:footnote w:type="continuationNotice" w:id="1">
    <w:p w14:paraId="700F6E31" w14:textId="77777777" w:rsidR="00536C57" w:rsidRDefault="00536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2CBB" w14:textId="5037AD7B" w:rsidR="007B5A40" w:rsidRPr="00457B18" w:rsidRDefault="0022753D">
    <w:pPr>
      <w:pStyle w:val="Header"/>
      <w:rPr>
        <w:rFonts w:ascii="Calibri" w:hAnsi="Calibri" w:cs="Calibri"/>
        <w:color w:val="F8981C"/>
      </w:rPr>
    </w:pPr>
    <w:r w:rsidRPr="00457B18">
      <w:rPr>
        <w:rFonts w:ascii="Calibri" w:hAnsi="Calibri" w:cs="Calibri"/>
        <w:color w:val="F8981C"/>
      </w:rPr>
      <w:t xml:space="preserve">Last Reviewed: </w:t>
    </w:r>
    <w:r w:rsidR="007B5A40">
      <w:rPr>
        <w:rFonts w:ascii="Calibri" w:hAnsi="Calibri" w:cs="Calibri"/>
        <w:color w:val="F8981C"/>
      </w:rP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BB1"/>
    <w:multiLevelType w:val="hybridMultilevel"/>
    <w:tmpl w:val="F46EAD60"/>
    <w:lvl w:ilvl="0" w:tplc="E57441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0EEF"/>
    <w:multiLevelType w:val="hybridMultilevel"/>
    <w:tmpl w:val="138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3A0F"/>
    <w:multiLevelType w:val="hybridMultilevel"/>
    <w:tmpl w:val="26201DC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03BA1"/>
    <w:multiLevelType w:val="hybridMultilevel"/>
    <w:tmpl w:val="7D9C3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E65C8"/>
    <w:multiLevelType w:val="hybridMultilevel"/>
    <w:tmpl w:val="B15E0D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F45381"/>
    <w:multiLevelType w:val="hybridMultilevel"/>
    <w:tmpl w:val="A1F0DD70"/>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C3120"/>
    <w:multiLevelType w:val="hybridMultilevel"/>
    <w:tmpl w:val="86501476"/>
    <w:lvl w:ilvl="0" w:tplc="FFFFFFFF">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839AC"/>
    <w:multiLevelType w:val="hybridMultilevel"/>
    <w:tmpl w:val="57E07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B184B"/>
    <w:multiLevelType w:val="hybridMultilevel"/>
    <w:tmpl w:val="49D038CA"/>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B4A46"/>
    <w:multiLevelType w:val="hybridMultilevel"/>
    <w:tmpl w:val="54C0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07A40"/>
    <w:multiLevelType w:val="hybridMultilevel"/>
    <w:tmpl w:val="97C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25D7D"/>
    <w:multiLevelType w:val="hybridMultilevel"/>
    <w:tmpl w:val="8BC0E268"/>
    <w:lvl w:ilvl="0" w:tplc="14AC5E0C">
      <w:numFmt w:val="bullet"/>
      <w:lvlText w:val="•"/>
      <w:lvlJc w:val="left"/>
      <w:pPr>
        <w:ind w:left="1080" w:hanging="720"/>
      </w:pPr>
      <w:rPr>
        <w:rFonts w:ascii="Calibri" w:eastAsia="Times New Roman" w:hAnsi="Calibri" w:cs="Calibri" w:hint="default"/>
      </w:rPr>
    </w:lvl>
    <w:lvl w:ilvl="1" w:tplc="673AB2D8">
      <w:numFmt w:val="bullet"/>
      <w:lvlText w:val=""/>
      <w:lvlJc w:val="left"/>
      <w:pPr>
        <w:ind w:left="1800" w:hanging="720"/>
      </w:pPr>
      <w:rPr>
        <w:rFonts w:ascii="Symbol" w:eastAsia="Times New Roman"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05815"/>
    <w:multiLevelType w:val="hybridMultilevel"/>
    <w:tmpl w:val="E31A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36CB8"/>
    <w:multiLevelType w:val="hybridMultilevel"/>
    <w:tmpl w:val="59DCB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DEC2C7C"/>
    <w:multiLevelType w:val="hybridMultilevel"/>
    <w:tmpl w:val="A90A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14E1C"/>
    <w:multiLevelType w:val="hybridMultilevel"/>
    <w:tmpl w:val="A4A600F8"/>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434F0"/>
    <w:multiLevelType w:val="hybridMultilevel"/>
    <w:tmpl w:val="3F66948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E13CA9"/>
    <w:multiLevelType w:val="hybridMultilevel"/>
    <w:tmpl w:val="B104973C"/>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F694A"/>
    <w:multiLevelType w:val="hybridMultilevel"/>
    <w:tmpl w:val="28C696C2"/>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F3BF7"/>
    <w:multiLevelType w:val="hybridMultilevel"/>
    <w:tmpl w:val="8D6AA0FA"/>
    <w:lvl w:ilvl="0" w:tplc="65865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65ED2"/>
    <w:multiLevelType w:val="hybridMultilevel"/>
    <w:tmpl w:val="D4706988"/>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77216"/>
    <w:multiLevelType w:val="hybridMultilevel"/>
    <w:tmpl w:val="306618E4"/>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8A6EC4"/>
    <w:multiLevelType w:val="hybridMultilevel"/>
    <w:tmpl w:val="28E2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0248E7"/>
    <w:multiLevelType w:val="hybridMultilevel"/>
    <w:tmpl w:val="F392DB24"/>
    <w:lvl w:ilvl="0" w:tplc="14AC5E0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12D76"/>
    <w:multiLevelType w:val="hybridMultilevel"/>
    <w:tmpl w:val="6E16BC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A50D8"/>
    <w:multiLevelType w:val="hybridMultilevel"/>
    <w:tmpl w:val="4734F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33A63"/>
    <w:multiLevelType w:val="hybridMultilevel"/>
    <w:tmpl w:val="55F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40824">
    <w:abstractNumId w:val="9"/>
  </w:num>
  <w:num w:numId="2" w16cid:durableId="1637565156">
    <w:abstractNumId w:val="19"/>
  </w:num>
  <w:num w:numId="3" w16cid:durableId="1501891621">
    <w:abstractNumId w:val="26"/>
  </w:num>
  <w:num w:numId="4" w16cid:durableId="1763717195">
    <w:abstractNumId w:val="2"/>
  </w:num>
  <w:num w:numId="5" w16cid:durableId="1993873236">
    <w:abstractNumId w:val="16"/>
  </w:num>
  <w:num w:numId="6" w16cid:durableId="553083572">
    <w:abstractNumId w:val="21"/>
  </w:num>
  <w:num w:numId="7" w16cid:durableId="1647317724">
    <w:abstractNumId w:val="15"/>
  </w:num>
  <w:num w:numId="8" w16cid:durableId="876430389">
    <w:abstractNumId w:val="3"/>
  </w:num>
  <w:num w:numId="9" w16cid:durableId="2111506150">
    <w:abstractNumId w:val="14"/>
  </w:num>
  <w:num w:numId="10" w16cid:durableId="2125222675">
    <w:abstractNumId w:val="4"/>
  </w:num>
  <w:num w:numId="11" w16cid:durableId="442190130">
    <w:abstractNumId w:val="12"/>
  </w:num>
  <w:num w:numId="12" w16cid:durableId="1316180907">
    <w:abstractNumId w:val="1"/>
  </w:num>
  <w:num w:numId="13" w16cid:durableId="893084131">
    <w:abstractNumId w:val="7"/>
  </w:num>
  <w:num w:numId="14" w16cid:durableId="1500730316">
    <w:abstractNumId w:val="25"/>
  </w:num>
  <w:num w:numId="15" w16cid:durableId="1625579383">
    <w:abstractNumId w:val="13"/>
  </w:num>
  <w:num w:numId="16" w16cid:durableId="1700201502">
    <w:abstractNumId w:val="10"/>
  </w:num>
  <w:num w:numId="17" w16cid:durableId="1354459245">
    <w:abstractNumId w:val="0"/>
  </w:num>
  <w:num w:numId="18" w16cid:durableId="1799059519">
    <w:abstractNumId w:val="22"/>
  </w:num>
  <w:num w:numId="19" w16cid:durableId="1169754782">
    <w:abstractNumId w:val="11"/>
  </w:num>
  <w:num w:numId="20" w16cid:durableId="1741706431">
    <w:abstractNumId w:val="23"/>
  </w:num>
  <w:num w:numId="21" w16cid:durableId="322053344">
    <w:abstractNumId w:val="17"/>
  </w:num>
  <w:num w:numId="22" w16cid:durableId="1730493811">
    <w:abstractNumId w:val="8"/>
  </w:num>
  <w:num w:numId="23" w16cid:durableId="2081057888">
    <w:abstractNumId w:val="20"/>
  </w:num>
  <w:num w:numId="24" w16cid:durableId="1169103404">
    <w:abstractNumId w:val="6"/>
  </w:num>
  <w:num w:numId="25" w16cid:durableId="459492516">
    <w:abstractNumId w:val="24"/>
  </w:num>
  <w:num w:numId="26" w16cid:durableId="1412265702">
    <w:abstractNumId w:val="5"/>
  </w:num>
  <w:num w:numId="27" w16cid:durableId="1811678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4"/>
    <w:rsid w:val="0003544D"/>
    <w:rsid w:val="000611C4"/>
    <w:rsid w:val="0008415E"/>
    <w:rsid w:val="00095110"/>
    <w:rsid w:val="000A1B87"/>
    <w:rsid w:val="000B4D7D"/>
    <w:rsid w:val="00111870"/>
    <w:rsid w:val="0016224C"/>
    <w:rsid w:val="001A086F"/>
    <w:rsid w:val="001B787F"/>
    <w:rsid w:val="001D21E9"/>
    <w:rsid w:val="0022753D"/>
    <w:rsid w:val="002B3464"/>
    <w:rsid w:val="002E1380"/>
    <w:rsid w:val="002E5985"/>
    <w:rsid w:val="002F2155"/>
    <w:rsid w:val="0032580F"/>
    <w:rsid w:val="003606E6"/>
    <w:rsid w:val="003739E1"/>
    <w:rsid w:val="0038443B"/>
    <w:rsid w:val="003C7826"/>
    <w:rsid w:val="00457B18"/>
    <w:rsid w:val="00511959"/>
    <w:rsid w:val="00515592"/>
    <w:rsid w:val="00536C57"/>
    <w:rsid w:val="005658A6"/>
    <w:rsid w:val="00572C7F"/>
    <w:rsid w:val="0058146E"/>
    <w:rsid w:val="00635919"/>
    <w:rsid w:val="00645004"/>
    <w:rsid w:val="00645A51"/>
    <w:rsid w:val="007155B5"/>
    <w:rsid w:val="00771C55"/>
    <w:rsid w:val="007A152B"/>
    <w:rsid w:val="007B5A40"/>
    <w:rsid w:val="0085072D"/>
    <w:rsid w:val="008A0996"/>
    <w:rsid w:val="008E3DA1"/>
    <w:rsid w:val="00962FA7"/>
    <w:rsid w:val="009A07FF"/>
    <w:rsid w:val="009A69E7"/>
    <w:rsid w:val="009C7A64"/>
    <w:rsid w:val="009D5778"/>
    <w:rsid w:val="009F3DCD"/>
    <w:rsid w:val="00B0180D"/>
    <w:rsid w:val="00B146A2"/>
    <w:rsid w:val="00B26126"/>
    <w:rsid w:val="00B6762D"/>
    <w:rsid w:val="00BC641F"/>
    <w:rsid w:val="00C26057"/>
    <w:rsid w:val="00C54643"/>
    <w:rsid w:val="00D50F35"/>
    <w:rsid w:val="00E40E4E"/>
    <w:rsid w:val="00E42475"/>
    <w:rsid w:val="00E45817"/>
    <w:rsid w:val="00E6474C"/>
    <w:rsid w:val="00E9432B"/>
    <w:rsid w:val="00ED7300"/>
    <w:rsid w:val="00F742EF"/>
    <w:rsid w:val="00F8153A"/>
    <w:rsid w:val="00FC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F2BD"/>
  <w15:chartTrackingRefBased/>
  <w15:docId w15:val="{152F48DB-DC21-49F6-BBE5-A6FBBD3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0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004"/>
    <w:pPr>
      <w:ind w:right="-46"/>
      <w:jc w:val="center"/>
      <w:outlineLvl w:val="0"/>
    </w:pPr>
    <w:rPr>
      <w:rFonts w:ascii="Calibri" w:hAnsi="Calibri"/>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04"/>
    <w:rPr>
      <w:rFonts w:ascii="Calibri" w:eastAsia="Times New Roman" w:hAnsi="Calibri" w:cs="Times New Roman"/>
      <w:b/>
      <w:caps/>
      <w:sz w:val="32"/>
      <w:szCs w:val="32"/>
      <w:lang w:val="en-US"/>
    </w:rPr>
  </w:style>
  <w:style w:type="paragraph" w:customStyle="1" w:styleId="Default">
    <w:name w:val="Default"/>
    <w:rsid w:val="00645004"/>
    <w:pPr>
      <w:autoSpaceDE w:val="0"/>
      <w:autoSpaceDN w:val="0"/>
      <w:adjustRightInd w:val="0"/>
    </w:pPr>
    <w:rPr>
      <w:rFonts w:ascii="Arial" w:eastAsia="Times New Roman" w:hAnsi="Arial" w:cs="Arial"/>
      <w:color w:val="000000"/>
      <w:sz w:val="24"/>
      <w:szCs w:val="24"/>
    </w:rPr>
  </w:style>
  <w:style w:type="character" w:styleId="FootnoteReference">
    <w:name w:val="footnote reference"/>
    <w:semiHidden/>
    <w:rsid w:val="00645004"/>
    <w:rPr>
      <w:vertAlign w:val="superscript"/>
    </w:rPr>
  </w:style>
  <w:style w:type="paragraph" w:styleId="NormalWeb">
    <w:name w:val="Normal (Web)"/>
    <w:basedOn w:val="Normal"/>
    <w:rsid w:val="00645004"/>
    <w:pPr>
      <w:spacing w:before="100" w:beforeAutospacing="1" w:after="100" w:afterAutospacing="1"/>
    </w:pPr>
    <w:rPr>
      <w:rFonts w:ascii="Calibri" w:hAnsi="Calibri"/>
      <w:lang w:val="en-GB"/>
    </w:rPr>
  </w:style>
  <w:style w:type="paragraph" w:customStyle="1" w:styleId="PolicySubheading">
    <w:name w:val="Policy Subheading"/>
    <w:basedOn w:val="Default"/>
    <w:qFormat/>
    <w:rsid w:val="000B4D7D"/>
    <w:pPr>
      <w:spacing w:before="200"/>
    </w:pPr>
    <w:rPr>
      <w:rFonts w:ascii="Calibri" w:hAnsi="Calibri" w:cs="Calibri"/>
      <w:b/>
      <w:bCs/>
      <w:caps/>
      <w:color w:val="2A3187"/>
    </w:rPr>
  </w:style>
  <w:style w:type="paragraph" w:styleId="Header">
    <w:name w:val="header"/>
    <w:basedOn w:val="Normal"/>
    <w:link w:val="HeaderChar"/>
    <w:uiPriority w:val="99"/>
    <w:unhideWhenUsed/>
    <w:rsid w:val="001D21E9"/>
    <w:pPr>
      <w:tabs>
        <w:tab w:val="center" w:pos="4513"/>
        <w:tab w:val="right" w:pos="9026"/>
      </w:tabs>
    </w:pPr>
  </w:style>
  <w:style w:type="character" w:customStyle="1" w:styleId="HeaderChar">
    <w:name w:val="Header Char"/>
    <w:link w:val="Header"/>
    <w:uiPriority w:val="99"/>
    <w:rsid w:val="001D21E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D21E9"/>
    <w:pPr>
      <w:tabs>
        <w:tab w:val="center" w:pos="4513"/>
        <w:tab w:val="right" w:pos="9026"/>
      </w:tabs>
    </w:pPr>
  </w:style>
  <w:style w:type="character" w:customStyle="1" w:styleId="FooterChar">
    <w:name w:val="Footer Char"/>
    <w:link w:val="Footer"/>
    <w:uiPriority w:val="99"/>
    <w:rsid w:val="001D21E9"/>
    <w:rPr>
      <w:rFonts w:ascii="Times New Roman" w:eastAsia="Times New Roman" w:hAnsi="Times New Roman"/>
      <w:sz w:val="24"/>
      <w:szCs w:val="24"/>
      <w:lang w:val="en-US" w:eastAsia="en-US"/>
    </w:rPr>
  </w:style>
  <w:style w:type="table" w:styleId="TableGrid">
    <w:name w:val="Table Grid"/>
    <w:basedOn w:val="TableNormal"/>
    <w:uiPriority w:val="39"/>
    <w:rsid w:val="001D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Default"/>
    <w:qFormat/>
    <w:rsid w:val="0085072D"/>
    <w:pPr>
      <w:spacing w:after="120"/>
    </w:pPr>
    <w:rPr>
      <w:rFonts w:ascii="Calibri" w:hAnsi="Calibri" w:cs="Calibri"/>
      <w:color w:val="2A3187"/>
    </w:rPr>
  </w:style>
  <w:style w:type="character" w:styleId="Hyperlink">
    <w:name w:val="Hyperlink"/>
    <w:basedOn w:val="DefaultParagraphFont"/>
    <w:uiPriority w:val="99"/>
    <w:unhideWhenUsed/>
    <w:rsid w:val="0008415E"/>
    <w:rPr>
      <w:color w:val="0563C1" w:themeColor="hyperlink"/>
      <w:u w:val="single"/>
    </w:rPr>
  </w:style>
  <w:style w:type="character" w:styleId="UnresolvedMention">
    <w:name w:val="Unresolved Mention"/>
    <w:basedOn w:val="DefaultParagraphFont"/>
    <w:uiPriority w:val="99"/>
    <w:semiHidden/>
    <w:unhideWhenUsed/>
    <w:rsid w:val="0008415E"/>
    <w:rPr>
      <w:color w:val="605E5C"/>
      <w:shd w:val="clear" w:color="auto" w:fill="E1DFDD"/>
    </w:rPr>
  </w:style>
  <w:style w:type="paragraph" w:styleId="NoSpacing">
    <w:name w:val="No Spacing"/>
    <w:uiPriority w:val="1"/>
    <w:qFormat/>
    <w:rsid w:val="001A086F"/>
    <w:rPr>
      <w:rFonts w:ascii="Times New Roman" w:eastAsia="Times New Roman" w:hAnsi="Times New Roman"/>
      <w:sz w:val="24"/>
      <w:szCs w:val="24"/>
      <w:lang w:val="en-US" w:eastAsia="en-US"/>
    </w:rPr>
  </w:style>
  <w:style w:type="paragraph" w:styleId="Title">
    <w:name w:val="Title"/>
    <w:basedOn w:val="Normal"/>
    <w:next w:val="Normal"/>
    <w:link w:val="TitleChar"/>
    <w:uiPriority w:val="10"/>
    <w:qFormat/>
    <w:rsid w:val="00ED7300"/>
    <w:pPr>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7300"/>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ED730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523de004e809e4b5532402118d5997f5">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87bd77c73cfc141d7c0f17a0b20bdc12"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38CA83D-DC4C-4533-AA59-14C1BD9F2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5AD92-6058-4E18-AD78-6060D15ADBC9}">
  <ds:schemaRefs>
    <ds:schemaRef ds:uri="http://schemas.microsoft.com/sharepoint/v3/contenttype/forms"/>
  </ds:schemaRefs>
</ds:datastoreItem>
</file>

<file path=customXml/itemProps3.xml><?xml version="1.0" encoding="utf-8"?>
<ds:datastoreItem xmlns:ds="http://schemas.openxmlformats.org/officeDocument/2006/customXml" ds:itemID="{32A81C8C-0366-47C4-A091-231965B04A2E}">
  <ds:schemaRefs>
    <ds:schemaRef ds:uri="http://schemas.microsoft.com/office/2006/metadata/properties"/>
    <ds:schemaRef ds:uri="http://schemas.microsoft.com/office/2006/documentManagement/types"/>
    <ds:schemaRef ds:uri="http://purl.org/dc/elements/1.1/"/>
    <ds:schemaRef ds:uri="b8b6f796-6c81-423a-81cc-d9cb07a4d8b6"/>
    <ds:schemaRef ds:uri="http://www.w3.org/XML/1998/namespace"/>
    <ds:schemaRef ds:uri="http://purl.org/dc/dcmitype/"/>
    <ds:schemaRef ds:uri="http://schemas.microsoft.com/office/infopath/2007/PartnerControls"/>
    <ds:schemaRef ds:uri="http://schemas.openxmlformats.org/package/2006/metadata/core-properties"/>
    <ds:schemaRef ds:uri="f0f4475b-7024-4158-b039-6ddf2840ab5e"/>
    <ds:schemaRef ds:uri="http://purl.org/dc/terms/"/>
  </ds:schemaRefs>
</ds:datastoreItem>
</file>

<file path=customXml/itemProps4.xml><?xml version="1.0" encoding="utf-8"?>
<ds:datastoreItem xmlns:ds="http://schemas.openxmlformats.org/officeDocument/2006/customXml" ds:itemID="{584082F1-3EAD-4F54-83AD-3C15B4469054}">
  <ds:schemaRefs>
    <ds:schemaRef ds:uri="http://schemas.openxmlformats.org/officeDocument/2006/bibliography"/>
  </ds:schemaRefs>
</ds:datastoreItem>
</file>

<file path=customXml/itemProps5.xml><?xml version="1.0" encoding="utf-8"?>
<ds:datastoreItem xmlns:ds="http://schemas.openxmlformats.org/officeDocument/2006/customXml" ds:itemID="{385318E0-C0B1-4188-997F-6CA6176601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Rebecca Bullivant</cp:lastModifiedBy>
  <cp:revision>5</cp:revision>
  <cp:lastPrinted>2023-06-09T09:15:00Z</cp:lastPrinted>
  <dcterms:created xsi:type="dcterms:W3CDTF">2024-01-26T15:43:00Z</dcterms:created>
  <dcterms:modified xsi:type="dcterms:W3CDTF">2024-02-13T12:51:00Z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0x0101003E87CED212479046882CAED7E7158AF3</vt:lpwstr>
  </property>
</Properties>
</file>