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shd w:val="clear" w:color="auto" w:fill="D9D9D9" w:themeFill="background1" w:themeFillShade="D9"/>
        <w:tblLook w:val="04A0" w:firstRow="1" w:lastRow="0" w:firstColumn="1" w:lastColumn="0" w:noHBand="0" w:noVBand="1"/>
      </w:tblPr>
      <w:tblGrid>
        <w:gridCol w:w="9016"/>
      </w:tblGrid>
      <w:tr w:rsidR="00ED7300" w:rsidRPr="00ED7300" w14:paraId="34661651" w14:textId="77777777" w:rsidTr="00ED7300">
        <w:tc>
          <w:tcPr>
            <w:tcW w:w="9016" w:type="dxa"/>
            <w:shd w:val="clear" w:color="auto" w:fill="D9D9D9" w:themeFill="background1" w:themeFillShade="D9"/>
          </w:tcPr>
          <w:p w14:paraId="49D03738" w14:textId="77777777" w:rsidR="00ED7300" w:rsidRDefault="00ED7300" w:rsidP="00111870">
            <w:pPr>
              <w:pStyle w:val="Default"/>
              <w:jc w:val="center"/>
              <w:rPr>
                <w:rFonts w:asciiTheme="minorHAnsi" w:hAnsiTheme="minorHAnsi" w:cstheme="minorHAnsi"/>
                <w:b/>
                <w:color w:val="2A3187"/>
              </w:rPr>
            </w:pPr>
          </w:p>
          <w:p w14:paraId="6C43C9D9" w14:textId="3B4E66F2" w:rsidR="00ED7300" w:rsidRDefault="00ED7300" w:rsidP="00111870">
            <w:pPr>
              <w:pStyle w:val="Default"/>
              <w:jc w:val="center"/>
              <w:rPr>
                <w:rFonts w:asciiTheme="minorHAnsi" w:hAnsiTheme="minorHAnsi" w:cstheme="minorHAnsi"/>
                <w:b/>
                <w:color w:val="2A3187"/>
              </w:rPr>
            </w:pPr>
            <w:r w:rsidRPr="00ED7300">
              <w:rPr>
                <w:rFonts w:asciiTheme="minorHAnsi" w:hAnsiTheme="minorHAnsi" w:cstheme="minorHAnsi"/>
                <w:b/>
                <w:noProof/>
                <w:color w:val="2A3187"/>
              </w:rPr>
              <w:drawing>
                <wp:inline distT="0" distB="0" distL="0" distR="0" wp14:anchorId="7F509E55" wp14:editId="76F13990">
                  <wp:extent cx="3057384"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57384" cy="876300"/>
                          </a:xfrm>
                          <a:prstGeom prst="rect">
                            <a:avLst/>
                          </a:prstGeom>
                          <a:noFill/>
                          <a:ln>
                            <a:noFill/>
                          </a:ln>
                        </pic:spPr>
                      </pic:pic>
                    </a:graphicData>
                  </a:graphic>
                </wp:inline>
              </w:drawing>
            </w:r>
          </w:p>
          <w:p w14:paraId="4CA8ADAE" w14:textId="77777777" w:rsidR="00ED7300" w:rsidRPr="00ED7300" w:rsidRDefault="00ED7300" w:rsidP="00111870">
            <w:pPr>
              <w:pStyle w:val="Default"/>
              <w:jc w:val="center"/>
              <w:rPr>
                <w:rFonts w:asciiTheme="minorHAnsi" w:hAnsiTheme="minorHAnsi" w:cstheme="minorHAnsi"/>
                <w:b/>
                <w:color w:val="2A3187"/>
              </w:rPr>
            </w:pPr>
          </w:p>
          <w:p w14:paraId="2B834C67" w14:textId="77777777" w:rsidR="00ED7300" w:rsidRPr="00ED7300" w:rsidRDefault="00ED7300" w:rsidP="00ED7300">
            <w:pPr>
              <w:pStyle w:val="Title"/>
              <w:jc w:val="center"/>
              <w:rPr>
                <w:rFonts w:asciiTheme="minorHAnsi" w:hAnsiTheme="minorHAnsi" w:cstheme="minorHAnsi"/>
                <w:color w:val="FF0000"/>
                <w:sz w:val="52"/>
                <w:szCs w:val="52"/>
              </w:rPr>
            </w:pPr>
            <w:r w:rsidRPr="00ED7300">
              <w:rPr>
                <w:rFonts w:asciiTheme="minorHAnsi" w:hAnsiTheme="minorHAnsi" w:cstheme="minorHAnsi"/>
                <w:color w:val="FF0000"/>
                <w:sz w:val="52"/>
                <w:szCs w:val="52"/>
              </w:rPr>
              <w:t>SAMPLE</w:t>
            </w:r>
          </w:p>
          <w:p w14:paraId="1C8C8B0F" w14:textId="438C6E70" w:rsidR="00ED7300" w:rsidRPr="00ED7300" w:rsidRDefault="00066348" w:rsidP="00ED7300">
            <w:pPr>
              <w:pStyle w:val="Title"/>
              <w:jc w:val="center"/>
              <w:rPr>
                <w:rFonts w:asciiTheme="minorHAnsi" w:hAnsiTheme="minorHAnsi" w:cstheme="minorHAnsi"/>
                <w:sz w:val="52"/>
                <w:szCs w:val="52"/>
              </w:rPr>
            </w:pPr>
            <w:r>
              <w:rPr>
                <w:rFonts w:asciiTheme="minorHAnsi" w:hAnsiTheme="minorHAnsi" w:cstheme="minorHAnsi"/>
                <w:sz w:val="52"/>
                <w:szCs w:val="52"/>
              </w:rPr>
              <w:t>ADULT SAFFEGUARDING POLICY</w:t>
            </w:r>
          </w:p>
          <w:p w14:paraId="2F1D0438" w14:textId="77777777" w:rsidR="00ED7300" w:rsidRDefault="00ED7300" w:rsidP="00ED7300">
            <w:pPr>
              <w:rPr>
                <w:rFonts w:asciiTheme="minorHAnsi" w:hAnsiTheme="minorHAnsi" w:cstheme="minorHAnsi"/>
                <w:lang w:val="en-GB"/>
              </w:rPr>
            </w:pPr>
          </w:p>
          <w:p w14:paraId="29FF299F" w14:textId="30FA7D4A" w:rsidR="00572C7F" w:rsidRPr="009A69E7" w:rsidRDefault="00ED7300" w:rsidP="009A69E7">
            <w:pPr>
              <w:spacing w:afterLines="120" w:after="288"/>
              <w:jc w:val="center"/>
              <w:rPr>
                <w:rFonts w:asciiTheme="minorHAnsi" w:hAnsiTheme="minorHAnsi" w:cstheme="minorHAnsi"/>
                <w:sz w:val="32"/>
                <w:szCs w:val="32"/>
                <w:lang w:val="en-GB"/>
              </w:rPr>
            </w:pPr>
            <w:r w:rsidRPr="009A69E7">
              <w:rPr>
                <w:rFonts w:asciiTheme="minorHAnsi" w:hAnsiTheme="minorHAnsi" w:cstheme="minorHAnsi"/>
                <w:sz w:val="32"/>
                <w:szCs w:val="32"/>
                <w:lang w:val="en-GB"/>
              </w:rPr>
              <w:t xml:space="preserve">To use this policy, please read through it, change all references </w:t>
            </w:r>
            <w:r w:rsidR="002E1380" w:rsidRPr="009A69E7">
              <w:rPr>
                <w:rFonts w:asciiTheme="minorHAnsi" w:hAnsiTheme="minorHAnsi" w:cstheme="minorHAnsi"/>
                <w:sz w:val="32"/>
                <w:szCs w:val="32"/>
                <w:lang w:val="en-GB"/>
              </w:rPr>
              <w:t>for</w:t>
            </w:r>
            <w:r w:rsidRPr="009A69E7">
              <w:rPr>
                <w:rFonts w:asciiTheme="minorHAnsi" w:hAnsiTheme="minorHAnsi" w:cstheme="minorHAnsi"/>
                <w:sz w:val="32"/>
                <w:szCs w:val="32"/>
                <w:lang w:val="en-GB"/>
              </w:rPr>
              <w:t xml:space="preserve"> </w:t>
            </w:r>
            <w:r w:rsidR="009A69E7" w:rsidRPr="009A69E7">
              <w:rPr>
                <w:rFonts w:asciiTheme="minorHAnsi" w:hAnsiTheme="minorHAnsi" w:cstheme="minorHAnsi"/>
                <w:sz w:val="32"/>
                <w:szCs w:val="32"/>
                <w:lang w:val="en-GB"/>
              </w:rPr>
              <w:t xml:space="preserve">“Kent Coast Volunteering” or </w:t>
            </w:r>
            <w:r w:rsidRPr="009A69E7">
              <w:rPr>
                <w:rFonts w:asciiTheme="minorHAnsi" w:hAnsiTheme="minorHAnsi" w:cstheme="minorHAnsi"/>
                <w:sz w:val="32"/>
                <w:szCs w:val="32"/>
                <w:lang w:val="en-GB"/>
              </w:rPr>
              <w:t>“KCV” to your own organisation, and delete this page.</w:t>
            </w:r>
          </w:p>
          <w:p w14:paraId="58CCC61E" w14:textId="22FC09A2" w:rsidR="00572C7F" w:rsidRPr="003606E6" w:rsidRDefault="0032580F" w:rsidP="0032580F">
            <w:pPr>
              <w:spacing w:afterLines="120" w:after="288"/>
              <w:rPr>
                <w:rFonts w:asciiTheme="minorHAnsi" w:hAnsiTheme="minorHAnsi" w:cstheme="minorHAnsi"/>
                <w:lang w:val="en-GB"/>
              </w:rPr>
            </w:pPr>
            <w:proofErr w:type="gramStart"/>
            <w:r w:rsidRPr="003606E6">
              <w:rPr>
                <w:rFonts w:asciiTheme="minorHAnsi" w:hAnsiTheme="minorHAnsi" w:cstheme="minorHAnsi"/>
                <w:lang w:val="en-GB"/>
              </w:rPr>
              <w:t>In</w:t>
            </w:r>
            <w:r w:rsidR="00572C7F" w:rsidRPr="003606E6">
              <w:rPr>
                <w:rFonts w:asciiTheme="minorHAnsi" w:hAnsiTheme="minorHAnsi" w:cstheme="minorHAnsi"/>
                <w:lang w:val="en-GB"/>
              </w:rPr>
              <w:t xml:space="preserve"> particular</w:t>
            </w:r>
            <w:r w:rsidRPr="003606E6">
              <w:rPr>
                <w:rFonts w:asciiTheme="minorHAnsi" w:hAnsiTheme="minorHAnsi" w:cstheme="minorHAnsi"/>
                <w:lang w:val="en-GB"/>
              </w:rPr>
              <w:t>, please</w:t>
            </w:r>
            <w:proofErr w:type="gramEnd"/>
            <w:r w:rsidR="00572C7F" w:rsidRPr="003606E6">
              <w:rPr>
                <w:rFonts w:asciiTheme="minorHAnsi" w:hAnsiTheme="minorHAnsi" w:cstheme="minorHAnsi"/>
                <w:lang w:val="en-GB"/>
              </w:rPr>
              <w:t xml:space="preserve"> review the following section</w:t>
            </w:r>
            <w:r w:rsidR="00066348">
              <w:rPr>
                <w:rFonts w:asciiTheme="minorHAnsi" w:hAnsiTheme="minorHAnsi" w:cstheme="minorHAnsi"/>
                <w:lang w:val="en-GB"/>
              </w:rPr>
              <w:t>s</w:t>
            </w:r>
            <w:r w:rsidR="00572C7F" w:rsidRPr="003606E6">
              <w:rPr>
                <w:rFonts w:asciiTheme="minorHAnsi" w:hAnsiTheme="minorHAnsi" w:cstheme="minorHAnsi"/>
                <w:lang w:val="en-GB"/>
              </w:rPr>
              <w:t>:</w:t>
            </w:r>
          </w:p>
          <w:p w14:paraId="2ACD87FF" w14:textId="77777777" w:rsidR="003606E6" w:rsidRPr="00004183" w:rsidRDefault="00004183" w:rsidP="007B5A40">
            <w:pPr>
              <w:pStyle w:val="ListParagraph"/>
              <w:numPr>
                <w:ilvl w:val="0"/>
                <w:numId w:val="20"/>
              </w:numPr>
              <w:spacing w:afterLines="120" w:after="288"/>
              <w:ind w:left="1077"/>
              <w:contextualSpacing w:val="0"/>
              <w:rPr>
                <w:rFonts w:cstheme="minorHAnsi"/>
                <w:sz w:val="24"/>
                <w:szCs w:val="24"/>
              </w:rPr>
            </w:pPr>
            <w:r>
              <w:rPr>
                <w:sz w:val="24"/>
                <w:szCs w:val="24"/>
              </w:rPr>
              <w:t xml:space="preserve">6.0 – your organisation should designate someone to be the ‘Lead Safeguarding Officer’. If </w:t>
            </w:r>
            <w:proofErr w:type="gramStart"/>
            <w:r>
              <w:rPr>
                <w:sz w:val="24"/>
                <w:szCs w:val="24"/>
              </w:rPr>
              <w:t>possible</w:t>
            </w:r>
            <w:proofErr w:type="gramEnd"/>
            <w:r>
              <w:rPr>
                <w:sz w:val="24"/>
                <w:szCs w:val="24"/>
              </w:rPr>
              <w:t xml:space="preserve"> there should also be a ‘Deputy Safeguarding Officer’.</w:t>
            </w:r>
          </w:p>
          <w:p w14:paraId="51ACC645" w14:textId="3D97B725" w:rsidR="00004183" w:rsidRPr="00004183" w:rsidRDefault="00004183" w:rsidP="007B5A40">
            <w:pPr>
              <w:pStyle w:val="ListParagraph"/>
              <w:numPr>
                <w:ilvl w:val="0"/>
                <w:numId w:val="20"/>
              </w:numPr>
              <w:spacing w:afterLines="120" w:after="288"/>
              <w:ind w:left="1077"/>
              <w:contextualSpacing w:val="0"/>
              <w:rPr>
                <w:rFonts w:cstheme="minorHAnsi"/>
                <w:sz w:val="24"/>
                <w:szCs w:val="24"/>
              </w:rPr>
            </w:pPr>
            <w:r>
              <w:rPr>
                <w:sz w:val="24"/>
                <w:szCs w:val="24"/>
              </w:rPr>
              <w:t xml:space="preserve">9.0 and 9.1 – </w:t>
            </w:r>
            <w:r w:rsidR="000F34F3">
              <w:rPr>
                <w:sz w:val="24"/>
                <w:szCs w:val="24"/>
              </w:rPr>
              <w:t>the</w:t>
            </w:r>
            <w:r>
              <w:rPr>
                <w:sz w:val="24"/>
                <w:szCs w:val="24"/>
              </w:rPr>
              <w:t xml:space="preserve"> roles and responsibilities may differ for your own organisation</w:t>
            </w:r>
            <w:r w:rsidR="000F34F3">
              <w:rPr>
                <w:sz w:val="24"/>
                <w:szCs w:val="24"/>
              </w:rPr>
              <w:t>.</w:t>
            </w:r>
            <w:r>
              <w:rPr>
                <w:sz w:val="24"/>
                <w:szCs w:val="24"/>
              </w:rPr>
              <w:t xml:space="preserve"> </w:t>
            </w:r>
          </w:p>
          <w:p w14:paraId="7856C8E6" w14:textId="4E2FBDA4" w:rsidR="00004183" w:rsidRPr="007B5A40" w:rsidRDefault="00004183" w:rsidP="007B5A40">
            <w:pPr>
              <w:pStyle w:val="ListParagraph"/>
              <w:numPr>
                <w:ilvl w:val="0"/>
                <w:numId w:val="20"/>
              </w:numPr>
              <w:spacing w:afterLines="120" w:after="288"/>
              <w:ind w:left="1077"/>
              <w:contextualSpacing w:val="0"/>
              <w:rPr>
                <w:rFonts w:cstheme="minorHAnsi"/>
                <w:sz w:val="24"/>
                <w:szCs w:val="24"/>
              </w:rPr>
            </w:pPr>
            <w:r>
              <w:rPr>
                <w:sz w:val="24"/>
                <w:szCs w:val="24"/>
              </w:rPr>
              <w:t xml:space="preserve">10.0 – training for your members may differ, but a yearly review and refresher is best practice for all organisations. </w:t>
            </w:r>
          </w:p>
        </w:tc>
      </w:tr>
    </w:tbl>
    <w:p w14:paraId="45AC989D" w14:textId="77777777" w:rsidR="00ED7300" w:rsidRDefault="00ED7300" w:rsidP="00111870">
      <w:pPr>
        <w:pStyle w:val="Default"/>
        <w:jc w:val="center"/>
        <w:rPr>
          <w:rFonts w:ascii="Calibri" w:hAnsi="Calibri" w:cs="Calibri"/>
          <w:b/>
          <w:color w:val="2A3187"/>
        </w:rPr>
      </w:pPr>
    </w:p>
    <w:p w14:paraId="16882401" w14:textId="77777777" w:rsidR="00ED7300" w:rsidRPr="001D21E9" w:rsidRDefault="00ED7300" w:rsidP="00111870">
      <w:pPr>
        <w:pStyle w:val="Default"/>
        <w:jc w:val="center"/>
        <w:rPr>
          <w:rFonts w:ascii="Calibri" w:hAnsi="Calibri" w:cs="Calibri"/>
          <w:b/>
          <w:color w:val="2A3187"/>
        </w:rPr>
      </w:pPr>
    </w:p>
    <w:p w14:paraId="3F109962" w14:textId="77777777" w:rsidR="00ED7300" w:rsidRDefault="00ED7300">
      <w:pPr>
        <w:rPr>
          <w:rFonts w:ascii="Calibri" w:hAnsi="Calibri" w:cs="Tahoma"/>
          <w:b/>
          <w:color w:val="2A3187"/>
          <w:sz w:val="32"/>
          <w:szCs w:val="32"/>
        </w:rPr>
      </w:pPr>
      <w:r>
        <w:rPr>
          <w:rFonts w:ascii="Calibri" w:hAnsi="Calibri" w:cs="Tahoma"/>
          <w:b/>
          <w:color w:val="2A3187"/>
          <w:sz w:val="32"/>
          <w:szCs w:val="32"/>
        </w:rPr>
        <w:br w:type="page"/>
      </w:r>
    </w:p>
    <w:p w14:paraId="27A30D99" w14:textId="4E055EBF" w:rsidR="0085072D" w:rsidRPr="0038443B" w:rsidRDefault="0085072D" w:rsidP="0085072D">
      <w:pPr>
        <w:jc w:val="center"/>
        <w:rPr>
          <w:rFonts w:ascii="Calibri" w:hAnsi="Calibri" w:cs="Tahoma"/>
          <w:b/>
          <w:color w:val="2A3187"/>
        </w:rPr>
      </w:pPr>
      <w:r w:rsidRPr="0038443B">
        <w:rPr>
          <w:rFonts w:ascii="Calibri" w:hAnsi="Calibri" w:cs="Tahoma"/>
          <w:b/>
          <w:color w:val="2A3187"/>
          <w:sz w:val="32"/>
          <w:szCs w:val="32"/>
        </w:rPr>
        <w:lastRenderedPageBreak/>
        <w:t>Kent Coast Volunteering</w:t>
      </w:r>
    </w:p>
    <w:p w14:paraId="354D612D" w14:textId="51B9BA74" w:rsidR="0085072D" w:rsidRPr="0038443B" w:rsidRDefault="00632449" w:rsidP="0085072D">
      <w:pPr>
        <w:pStyle w:val="Heading1"/>
        <w:rPr>
          <w:color w:val="2A3187"/>
        </w:rPr>
      </w:pPr>
      <w:r>
        <w:rPr>
          <w:color w:val="2A3187"/>
        </w:rPr>
        <w:t>Adult Safeguarding</w:t>
      </w:r>
      <w:r w:rsidR="00C26057" w:rsidRPr="00C26057">
        <w:rPr>
          <w:color w:val="2A3187"/>
        </w:rPr>
        <w:t xml:space="preserve"> </w:t>
      </w:r>
      <w:r>
        <w:rPr>
          <w:color w:val="2A3187"/>
        </w:rPr>
        <w:t>Policy</w:t>
      </w:r>
    </w:p>
    <w:p w14:paraId="7495D6D5" w14:textId="77777777" w:rsidR="0085072D" w:rsidRDefault="0085072D" w:rsidP="0085072D">
      <w:pPr>
        <w:rPr>
          <w:rFonts w:ascii="Calibri" w:hAnsi="Calibri" w:cs="Tahoma"/>
          <w:caps/>
          <w:sz w:val="20"/>
          <w:szCs w:val="20"/>
        </w:rPr>
      </w:pPr>
    </w:p>
    <w:p w14:paraId="1A7EAC74" w14:textId="77777777" w:rsidR="000B4D7D" w:rsidRDefault="0085072D" w:rsidP="000B4D7D">
      <w:pPr>
        <w:pStyle w:val="PolicySubheading"/>
      </w:pPr>
      <w:r w:rsidRPr="0038443B">
        <w:t>1.0 STATEMENT OF POLICY</w:t>
      </w:r>
    </w:p>
    <w:p w14:paraId="68DFD8F5" w14:textId="1944EE91" w:rsidR="00942757" w:rsidRDefault="00F8153A" w:rsidP="00942757">
      <w:pPr>
        <w:pStyle w:val="PolicyText"/>
      </w:pPr>
      <w:r>
        <w:t xml:space="preserve">Kent Coast Volunteering (KCV) </w:t>
      </w:r>
      <w:r w:rsidR="00942757">
        <w:t>is committed to safeguarding and promoting the welfare of vulnerable adults who use its services or attend activities and events; and ensuring that working practices minimise any risk of abuse.</w:t>
      </w:r>
    </w:p>
    <w:p w14:paraId="6E931E7F" w14:textId="2CDBF62C" w:rsidR="00942757" w:rsidRDefault="00942757" w:rsidP="00942757">
      <w:pPr>
        <w:pStyle w:val="PolicyText"/>
      </w:pPr>
      <w:r>
        <w:t xml:space="preserve">The purpose of this policy is to outline the duty and responsibility of staff and volunteers working on behalf of </w:t>
      </w:r>
      <w:r w:rsidR="00004183">
        <w:t>KCV</w:t>
      </w:r>
      <w:r>
        <w:t xml:space="preserve"> in relation to the protection of vulnerable adults from abuse.</w:t>
      </w:r>
    </w:p>
    <w:p w14:paraId="1D05D2C5" w14:textId="77777777" w:rsidR="00942757" w:rsidRDefault="00942757" w:rsidP="00004183">
      <w:pPr>
        <w:pStyle w:val="PolicySubheading"/>
      </w:pPr>
      <w:r>
        <w:t>1.1 The role of Staff and Volunteers</w:t>
      </w:r>
    </w:p>
    <w:p w14:paraId="037380F3" w14:textId="76F0B5E3" w:rsidR="00942757" w:rsidRDefault="00942757" w:rsidP="00942757">
      <w:pPr>
        <w:pStyle w:val="PolicyText"/>
      </w:pPr>
      <w:r>
        <w:t xml:space="preserve">All staff and volunteers working on behalf of </w:t>
      </w:r>
      <w:r w:rsidR="00004183">
        <w:t>KCV</w:t>
      </w:r>
      <w:r>
        <w:t xml:space="preserve"> have a duty to promote the welfare and safety of vulnerable adults and may receive disclosures of abuse and observe vulnerable adults who are at risk. This policy will enable staff and volunteers to make informed and confident responses to specific adult protection issues.</w:t>
      </w:r>
    </w:p>
    <w:p w14:paraId="0126924B" w14:textId="77777777" w:rsidR="00942757" w:rsidRDefault="00942757" w:rsidP="00004183">
      <w:pPr>
        <w:pStyle w:val="PolicySubheading"/>
      </w:pPr>
      <w:r>
        <w:t>2.0 What is Safeguarding?</w:t>
      </w:r>
    </w:p>
    <w:p w14:paraId="3FC6FA93" w14:textId="77777777" w:rsidR="00942757" w:rsidRDefault="00942757" w:rsidP="00942757">
      <w:pPr>
        <w:pStyle w:val="PolicyText"/>
      </w:pPr>
      <w:r>
        <w:t xml:space="preserve">Safeguarding means protecting people from abuse – e.g. harm and exploitation. It is every adult’s right to live in a safe environment free from abuse. This could include an adult (a person aged 18 or over) who: </w:t>
      </w:r>
    </w:p>
    <w:p w14:paraId="4F879D23" w14:textId="3FC1CE8E" w:rsidR="00942757" w:rsidRDefault="00942757" w:rsidP="00004183">
      <w:pPr>
        <w:pStyle w:val="PolicyText"/>
        <w:numPr>
          <w:ilvl w:val="0"/>
          <w:numId w:val="20"/>
        </w:numPr>
      </w:pPr>
      <w:r>
        <w:t>Is or may need community care services.</w:t>
      </w:r>
    </w:p>
    <w:p w14:paraId="20A434D0" w14:textId="091DF82E" w:rsidR="00942757" w:rsidRDefault="00942757" w:rsidP="00004183">
      <w:pPr>
        <w:pStyle w:val="PolicyText"/>
        <w:numPr>
          <w:ilvl w:val="0"/>
          <w:numId w:val="20"/>
        </w:numPr>
      </w:pPr>
      <w:r>
        <w:t>Is or may be unable to protect themselves.</w:t>
      </w:r>
    </w:p>
    <w:p w14:paraId="568AD505" w14:textId="77777777" w:rsidR="00942757" w:rsidRDefault="00942757" w:rsidP="00942757">
      <w:pPr>
        <w:pStyle w:val="PolicyText"/>
      </w:pPr>
      <w:r>
        <w:t>This could also include people with learning difficulties, physically disabled people, people with autism, older people, and people with mental health problems.</w:t>
      </w:r>
    </w:p>
    <w:p w14:paraId="271B0945" w14:textId="77777777" w:rsidR="00942757" w:rsidRDefault="00942757" w:rsidP="00004183">
      <w:pPr>
        <w:pStyle w:val="PolicySubheading"/>
      </w:pPr>
      <w:r>
        <w:t xml:space="preserve">3.0 What do we mean by abuse? </w:t>
      </w:r>
    </w:p>
    <w:p w14:paraId="533F577C" w14:textId="77777777" w:rsidR="00942757" w:rsidRDefault="00942757" w:rsidP="00942757">
      <w:pPr>
        <w:pStyle w:val="PolicyText"/>
      </w:pPr>
      <w:r>
        <w:t xml:space="preserve">Abuse is a violation of an individual’s human and civil rights by any other person or persons. This may be a single act or happen repeatedly over time. This abuse may be deliberate, but it may also happen because of poor care practices or ignorance. </w:t>
      </w:r>
    </w:p>
    <w:p w14:paraId="400C0B76" w14:textId="77777777" w:rsidR="00942757" w:rsidRDefault="00942757" w:rsidP="00942757">
      <w:pPr>
        <w:pStyle w:val="PolicyText"/>
      </w:pPr>
      <w:r>
        <w:t>The adult may be neglected, persuaded to agree to something against their will, or taken advantage of because they do not fully understand the consequences of their actions.</w:t>
      </w:r>
    </w:p>
    <w:p w14:paraId="2920786C" w14:textId="77777777" w:rsidR="00942757" w:rsidRDefault="00942757" w:rsidP="00942757">
      <w:pPr>
        <w:pStyle w:val="PolicyText"/>
      </w:pPr>
      <w:r>
        <w:t>The Department of Health in its ‘No Secrets’ report suggests the following as the main types of abuse:</w:t>
      </w:r>
    </w:p>
    <w:p w14:paraId="5DB896CF" w14:textId="5FE22181" w:rsidR="00942757" w:rsidRDefault="00942757" w:rsidP="00004183">
      <w:pPr>
        <w:pStyle w:val="PolicyText"/>
        <w:numPr>
          <w:ilvl w:val="0"/>
          <w:numId w:val="20"/>
        </w:numPr>
      </w:pPr>
      <w:r>
        <w:t>Physical abuse, including hitting, slapping, pushing, kicking, misuse of medication, restraint, or inappropriate sanctions.</w:t>
      </w:r>
    </w:p>
    <w:p w14:paraId="0D7E594C" w14:textId="012C4003" w:rsidR="00942757" w:rsidRDefault="00942757" w:rsidP="00004183">
      <w:pPr>
        <w:pStyle w:val="PolicyText"/>
        <w:numPr>
          <w:ilvl w:val="0"/>
          <w:numId w:val="20"/>
        </w:numPr>
      </w:pPr>
      <w:r>
        <w:t>Sexual abuse, including rape and sexual assault or sexual acts to which the vulnerable adult has not consented, or could not consent or was pressured into consenting.</w:t>
      </w:r>
    </w:p>
    <w:p w14:paraId="433460C5" w14:textId="19A06705" w:rsidR="00942757" w:rsidRDefault="00942757" w:rsidP="00004183">
      <w:pPr>
        <w:pStyle w:val="PolicyText"/>
        <w:numPr>
          <w:ilvl w:val="0"/>
          <w:numId w:val="20"/>
        </w:numPr>
      </w:pPr>
      <w:r>
        <w:t>Psychological abuse, including emotional abuse, threats of harm or abandonment, deprivation of contact, humiliation, blaming, controlling, intimidation, coercion, harassment, verbal abuse, isolation or withdrawal from services or supportive networks.</w:t>
      </w:r>
    </w:p>
    <w:p w14:paraId="4B714D31" w14:textId="399CD993" w:rsidR="00942757" w:rsidRDefault="00942757" w:rsidP="00004183">
      <w:pPr>
        <w:pStyle w:val="PolicyText"/>
        <w:numPr>
          <w:ilvl w:val="0"/>
          <w:numId w:val="20"/>
        </w:numPr>
      </w:pPr>
      <w:r>
        <w:lastRenderedPageBreak/>
        <w:t>Financial or material abuse, including theft, fraud, exploitation, pressure about wills, property or inheritance, financial transactions, or the misuse or misappropriation of property, possessions, or benefits.</w:t>
      </w:r>
    </w:p>
    <w:p w14:paraId="54AB32A8" w14:textId="5153A891" w:rsidR="00942757" w:rsidRDefault="00942757" w:rsidP="00004183">
      <w:pPr>
        <w:pStyle w:val="PolicyText"/>
        <w:numPr>
          <w:ilvl w:val="0"/>
          <w:numId w:val="20"/>
        </w:numPr>
      </w:pPr>
      <w:r>
        <w:t>Neglect and acts of omission, including ignoring medical or physical care needs, failure to provide access to appropriate health, social care or educational services, the withholding of the necessities of life, such as medication, adequate nutrition, and heating.</w:t>
      </w:r>
    </w:p>
    <w:p w14:paraId="46C33969" w14:textId="1176A1D6" w:rsidR="00942757" w:rsidRDefault="00942757" w:rsidP="00004183">
      <w:pPr>
        <w:pStyle w:val="PolicyText"/>
        <w:numPr>
          <w:ilvl w:val="0"/>
          <w:numId w:val="20"/>
        </w:numPr>
      </w:pPr>
      <w:r>
        <w:t>Discriminatory abuse, including racist, sexist, that based on a person’s disability, age or sexuality and other forms of harassment, slurs, or similar treatment.</w:t>
      </w:r>
    </w:p>
    <w:p w14:paraId="4A7E5DF1" w14:textId="77777777" w:rsidR="00942757" w:rsidRDefault="00942757" w:rsidP="00004183">
      <w:pPr>
        <w:pStyle w:val="PolicySubheading"/>
      </w:pPr>
      <w:r>
        <w:t xml:space="preserve">3.1 Who can abuse and where does it happen? </w:t>
      </w:r>
    </w:p>
    <w:p w14:paraId="6CE6B67F" w14:textId="77777777" w:rsidR="00942757" w:rsidRDefault="00942757" w:rsidP="00942757">
      <w:pPr>
        <w:pStyle w:val="PolicyText"/>
      </w:pPr>
      <w:r>
        <w:t xml:space="preserve">Anyone may abuse but it is usually someone known to the person. This could include another vulnerable adult, member of staff, member of the public or family member. </w:t>
      </w:r>
    </w:p>
    <w:p w14:paraId="69F41F12" w14:textId="77777777" w:rsidR="00942757" w:rsidRDefault="00942757" w:rsidP="00942757">
      <w:pPr>
        <w:pStyle w:val="PolicyText"/>
      </w:pPr>
      <w:r>
        <w:t xml:space="preserve">Abuse can happen anywhere. It may happen at home, in a residential home, hospital, day centre, or public place. </w:t>
      </w:r>
    </w:p>
    <w:p w14:paraId="5558D5F9" w14:textId="77777777" w:rsidR="00942757" w:rsidRDefault="00942757" w:rsidP="00942757">
      <w:pPr>
        <w:pStyle w:val="PolicyText"/>
      </w:pPr>
      <w:r>
        <w:t>Some instances of abuse are also crimes. This will lead to criminal proceedings. Everyone is entitled to the protection of the law when abuse is happening or suspected.</w:t>
      </w:r>
    </w:p>
    <w:p w14:paraId="4C158287" w14:textId="77777777" w:rsidR="00942757" w:rsidRDefault="00942757" w:rsidP="00004183">
      <w:pPr>
        <w:pStyle w:val="PolicySubheading"/>
      </w:pPr>
      <w:r>
        <w:t xml:space="preserve">3.2 Signs of abuse </w:t>
      </w:r>
    </w:p>
    <w:p w14:paraId="703D6369" w14:textId="77777777" w:rsidR="00942757" w:rsidRDefault="00942757" w:rsidP="00942757">
      <w:pPr>
        <w:pStyle w:val="PolicyText"/>
      </w:pPr>
      <w:r>
        <w:t xml:space="preserve">A person who is being abused may exhibit any of the following signs: </w:t>
      </w:r>
    </w:p>
    <w:p w14:paraId="7E1BA256" w14:textId="20DEC241" w:rsidR="00942757" w:rsidRDefault="00942757" w:rsidP="00004183">
      <w:pPr>
        <w:pStyle w:val="PolicyText"/>
        <w:numPr>
          <w:ilvl w:val="0"/>
          <w:numId w:val="20"/>
        </w:numPr>
      </w:pPr>
      <w:r>
        <w:t xml:space="preserve">Depression – being quiet or withdrawn. </w:t>
      </w:r>
    </w:p>
    <w:p w14:paraId="052FAC5D" w14:textId="1CCEF2BC" w:rsidR="00942757" w:rsidRDefault="00942757" w:rsidP="00004183">
      <w:pPr>
        <w:pStyle w:val="PolicyText"/>
        <w:numPr>
          <w:ilvl w:val="0"/>
          <w:numId w:val="20"/>
        </w:numPr>
      </w:pPr>
      <w:r>
        <w:t>Scruffy or unkempt appearance.</w:t>
      </w:r>
    </w:p>
    <w:p w14:paraId="10F42DA6" w14:textId="4A42D5D6" w:rsidR="00942757" w:rsidRDefault="00942757" w:rsidP="00004183">
      <w:pPr>
        <w:pStyle w:val="PolicyText"/>
        <w:numPr>
          <w:ilvl w:val="0"/>
          <w:numId w:val="20"/>
        </w:numPr>
      </w:pPr>
      <w:r>
        <w:t>Bruises or red marks.</w:t>
      </w:r>
    </w:p>
    <w:p w14:paraId="0288062F" w14:textId="01124DC9" w:rsidR="00942757" w:rsidRDefault="00942757" w:rsidP="00004183">
      <w:pPr>
        <w:pStyle w:val="PolicyText"/>
        <w:numPr>
          <w:ilvl w:val="0"/>
          <w:numId w:val="20"/>
        </w:numPr>
      </w:pPr>
      <w:r>
        <w:t xml:space="preserve">Shaking or nervousness. </w:t>
      </w:r>
    </w:p>
    <w:p w14:paraId="3761FA7D" w14:textId="363EBFBC" w:rsidR="00942757" w:rsidRDefault="00942757" w:rsidP="00004183">
      <w:pPr>
        <w:pStyle w:val="PolicyText"/>
        <w:numPr>
          <w:ilvl w:val="0"/>
          <w:numId w:val="20"/>
        </w:numPr>
      </w:pPr>
      <w:r>
        <w:t>Loss of confidence and self-esteem.</w:t>
      </w:r>
    </w:p>
    <w:p w14:paraId="44D356D8" w14:textId="204E4D1E" w:rsidR="00942757" w:rsidRDefault="00942757" w:rsidP="00004183">
      <w:pPr>
        <w:pStyle w:val="PolicyText"/>
        <w:numPr>
          <w:ilvl w:val="0"/>
          <w:numId w:val="20"/>
        </w:numPr>
      </w:pPr>
      <w:r>
        <w:t>Not wanting to go out or join in.</w:t>
      </w:r>
    </w:p>
    <w:p w14:paraId="7AB7673E" w14:textId="76F13137" w:rsidR="00942757" w:rsidRDefault="00942757" w:rsidP="00004183">
      <w:pPr>
        <w:pStyle w:val="PolicyText"/>
        <w:numPr>
          <w:ilvl w:val="0"/>
          <w:numId w:val="20"/>
        </w:numPr>
      </w:pPr>
      <w:r>
        <w:t>Anxiety.</w:t>
      </w:r>
    </w:p>
    <w:p w14:paraId="6900C05D" w14:textId="1DFA0976" w:rsidR="00942757" w:rsidRDefault="00942757" w:rsidP="00004183">
      <w:pPr>
        <w:pStyle w:val="PolicyText"/>
        <w:numPr>
          <w:ilvl w:val="0"/>
          <w:numId w:val="20"/>
        </w:numPr>
      </w:pPr>
      <w:r>
        <w:t>Anger or aggression.</w:t>
      </w:r>
    </w:p>
    <w:p w14:paraId="5CE09FF4" w14:textId="1C49BEB9" w:rsidR="00942757" w:rsidRDefault="00942757" w:rsidP="00004183">
      <w:pPr>
        <w:pStyle w:val="PolicyText"/>
        <w:numPr>
          <w:ilvl w:val="0"/>
          <w:numId w:val="20"/>
        </w:numPr>
      </w:pPr>
      <w:r>
        <w:t>Sudden weight gain or weight loss.</w:t>
      </w:r>
    </w:p>
    <w:p w14:paraId="30652A42" w14:textId="5426844A" w:rsidR="00942757" w:rsidRDefault="00942757" w:rsidP="00004183">
      <w:pPr>
        <w:pStyle w:val="PolicyText"/>
        <w:numPr>
          <w:ilvl w:val="0"/>
          <w:numId w:val="20"/>
        </w:numPr>
      </w:pPr>
      <w:r>
        <w:t>Wanting to be on their own.</w:t>
      </w:r>
    </w:p>
    <w:p w14:paraId="3412FEEB" w14:textId="64ADF6DA" w:rsidR="00942757" w:rsidRDefault="00942757" w:rsidP="00004183">
      <w:pPr>
        <w:pStyle w:val="PolicyText"/>
        <w:numPr>
          <w:ilvl w:val="0"/>
          <w:numId w:val="20"/>
        </w:numPr>
      </w:pPr>
      <w:r>
        <w:t>Change in financial circumstances.</w:t>
      </w:r>
    </w:p>
    <w:p w14:paraId="57CA4826" w14:textId="00E3FF96" w:rsidR="00942757" w:rsidRDefault="00942757" w:rsidP="00004183">
      <w:pPr>
        <w:pStyle w:val="PolicyText"/>
        <w:numPr>
          <w:ilvl w:val="0"/>
          <w:numId w:val="20"/>
        </w:numPr>
      </w:pPr>
      <w:r>
        <w:t>Other physical injuries.</w:t>
      </w:r>
    </w:p>
    <w:p w14:paraId="063EBE4A" w14:textId="77777777" w:rsidR="00942757" w:rsidRDefault="00942757" w:rsidP="00004183">
      <w:pPr>
        <w:pStyle w:val="PolicySubheading"/>
      </w:pPr>
      <w:r>
        <w:t>4.0 The Care Act 2014</w:t>
      </w:r>
    </w:p>
    <w:p w14:paraId="3016C040" w14:textId="77777777" w:rsidR="00942757" w:rsidRDefault="00942757" w:rsidP="00942757">
      <w:pPr>
        <w:pStyle w:val="PolicyText"/>
      </w:pPr>
      <w:r>
        <w:t xml:space="preserve">The ‘Care Act 2014’ sets out a clear legal framework for how local authorities and other parts of the system should protect adults at risk of abuse or neglect. </w:t>
      </w:r>
    </w:p>
    <w:p w14:paraId="73DA26E5" w14:textId="77777777" w:rsidR="00942757" w:rsidRDefault="00942757" w:rsidP="00942757">
      <w:pPr>
        <w:pStyle w:val="PolicyText"/>
      </w:pPr>
      <w:r>
        <w:t>The safeguarding duties of local authorities are:</w:t>
      </w:r>
    </w:p>
    <w:p w14:paraId="1313229E" w14:textId="5F3F77BC" w:rsidR="00942757" w:rsidRDefault="00942757" w:rsidP="00004183">
      <w:pPr>
        <w:pStyle w:val="PolicyText"/>
        <w:numPr>
          <w:ilvl w:val="0"/>
          <w:numId w:val="20"/>
        </w:numPr>
      </w:pPr>
      <w:r>
        <w:t>Lead a multi-agency local adult safeguarding system that seeks to prevent abuse and neglect and stop it quickly when it happens.</w:t>
      </w:r>
    </w:p>
    <w:p w14:paraId="6023D1F3" w14:textId="20E13FDD" w:rsidR="00942757" w:rsidRDefault="00942757" w:rsidP="00004183">
      <w:pPr>
        <w:pStyle w:val="PolicyText"/>
        <w:numPr>
          <w:ilvl w:val="0"/>
          <w:numId w:val="20"/>
        </w:numPr>
      </w:pPr>
      <w:r>
        <w:lastRenderedPageBreak/>
        <w:t>Make enquiries, or request others to make them, when they think an adult with care and support needs may be at risk of abuse or neglect and they need to find out what action may be needed.</w:t>
      </w:r>
    </w:p>
    <w:p w14:paraId="593A4D37" w14:textId="7C5BCF95" w:rsidR="00942757" w:rsidRDefault="00942757" w:rsidP="00004183">
      <w:pPr>
        <w:pStyle w:val="PolicyText"/>
        <w:numPr>
          <w:ilvl w:val="0"/>
          <w:numId w:val="20"/>
        </w:numPr>
      </w:pPr>
      <w:r>
        <w:t>Establish Safeguarding Adults Boards, including the local authority, NHS, and police, which will develop, share, and implement a joint safeguarding strategy.</w:t>
      </w:r>
    </w:p>
    <w:p w14:paraId="2CB10D13" w14:textId="69378036" w:rsidR="00942757" w:rsidRDefault="00942757" w:rsidP="00004183">
      <w:pPr>
        <w:pStyle w:val="PolicyText"/>
        <w:numPr>
          <w:ilvl w:val="0"/>
          <w:numId w:val="20"/>
        </w:numPr>
      </w:pPr>
      <w:r>
        <w:t xml:space="preserve">Carry out Safeguarding Adults Reviews when someone with care and support needs dies </w:t>
      </w:r>
      <w:proofErr w:type="gramStart"/>
      <w:r>
        <w:t>as a result of</w:t>
      </w:r>
      <w:proofErr w:type="gramEnd"/>
      <w:r>
        <w:t xml:space="preserve"> neglect or abuse and there is a concern that the local authority, or its partners, could have done more to protect them.</w:t>
      </w:r>
    </w:p>
    <w:p w14:paraId="1F4F606E" w14:textId="113E85D7" w:rsidR="00942757" w:rsidRDefault="00942757" w:rsidP="00004183">
      <w:pPr>
        <w:pStyle w:val="PolicyText"/>
        <w:numPr>
          <w:ilvl w:val="0"/>
          <w:numId w:val="20"/>
        </w:numPr>
      </w:pPr>
      <w:r>
        <w:t>Arrange for an independent advocate to represent and support a person who is the subject of a safeguarding enquiry or review, if required.</w:t>
      </w:r>
    </w:p>
    <w:p w14:paraId="43331D39" w14:textId="77777777" w:rsidR="00942757" w:rsidRDefault="00942757" w:rsidP="00942757">
      <w:pPr>
        <w:pStyle w:val="PolicyText"/>
      </w:pPr>
      <w:r>
        <w:t>Any relevant person or organisation must provide information to Safeguarding Adults Boards as requested.</w:t>
      </w:r>
    </w:p>
    <w:p w14:paraId="1AF4F591" w14:textId="1963A398" w:rsidR="00942757" w:rsidRDefault="00942757" w:rsidP="00942757">
      <w:pPr>
        <w:pStyle w:val="PolicyText"/>
      </w:pPr>
      <w:r>
        <w:t xml:space="preserve">The Care Act also says that Local Authorities must provide an independent advocate for anyone who has “substantial difficulty” expressing their wishes or being involved in the process for reporting abuse. This provision is made under the ‘Mental Capacity Act 2005’ and </w:t>
      </w:r>
      <w:r w:rsidR="00004183">
        <w:t>KCV</w:t>
      </w:r>
      <w:r>
        <w:t xml:space="preserve"> will be guided by this act when the person who has been allegedly abused needs an independent advocate to represent them.</w:t>
      </w:r>
    </w:p>
    <w:p w14:paraId="427D77B2" w14:textId="77777777" w:rsidR="00942757" w:rsidRDefault="00942757" w:rsidP="00004183">
      <w:pPr>
        <w:pStyle w:val="PolicySubheading"/>
      </w:pPr>
      <w:r>
        <w:t>5.0 The Prevent Strategy and Duty</w:t>
      </w:r>
    </w:p>
    <w:p w14:paraId="6265AE18" w14:textId="5614F2B5" w:rsidR="00942757" w:rsidRDefault="00942757" w:rsidP="00942757">
      <w:pPr>
        <w:pStyle w:val="PolicyText"/>
      </w:pPr>
      <w:r>
        <w:t>Section 26 of the ‘</w:t>
      </w:r>
      <w:proofErr w:type="gramStart"/>
      <w:r>
        <w:t>Counter-Terrorism</w:t>
      </w:r>
      <w:proofErr w:type="gramEnd"/>
      <w:r>
        <w:t xml:space="preserve"> and Security Act 2015’ places a duty on local authorities and their partners to have “due regard to the need to prevent people from being drawn into terrorism”. If you have concerns that someone staff or volunteers of </w:t>
      </w:r>
      <w:r w:rsidR="00004183">
        <w:t>KCV</w:t>
      </w:r>
      <w:r>
        <w:t xml:space="preserve"> is at risk of being radicalised or being drawn into terrorism this is a serious safeguarding issue. </w:t>
      </w:r>
    </w:p>
    <w:p w14:paraId="71D4C507" w14:textId="035EE886" w:rsidR="00942757" w:rsidRDefault="00942757" w:rsidP="00004183">
      <w:pPr>
        <w:pStyle w:val="PolicySubheading"/>
      </w:pPr>
      <w:r>
        <w:t xml:space="preserve">6.0 Responsible people within </w:t>
      </w:r>
      <w:r w:rsidR="00004183">
        <w:t>KCV</w:t>
      </w:r>
    </w:p>
    <w:p w14:paraId="0A97967B" w14:textId="21B42900" w:rsidR="00942757" w:rsidRDefault="00004183" w:rsidP="00942757">
      <w:pPr>
        <w:pStyle w:val="PolicyText"/>
      </w:pPr>
      <w:r>
        <w:t>KCV</w:t>
      </w:r>
      <w:r w:rsidR="00942757">
        <w:t>’s designated Safeguarding Lead is:</w:t>
      </w:r>
    </w:p>
    <w:p w14:paraId="61F6B028" w14:textId="3F07C6D8" w:rsidR="00004183" w:rsidRDefault="00004183" w:rsidP="00942757">
      <w:pPr>
        <w:pStyle w:val="PolicyText"/>
      </w:pPr>
      <w:r>
        <w:t>[name]</w:t>
      </w:r>
    </w:p>
    <w:p w14:paraId="2685C635" w14:textId="1EA37979" w:rsidR="00004183" w:rsidRDefault="00004183" w:rsidP="00942757">
      <w:pPr>
        <w:pStyle w:val="PolicyText"/>
      </w:pPr>
      <w:r>
        <w:t>[Email/phone number]</w:t>
      </w:r>
    </w:p>
    <w:p w14:paraId="0E337AC9" w14:textId="7FFA5D99" w:rsidR="00004183" w:rsidRDefault="00004183" w:rsidP="00942757">
      <w:pPr>
        <w:pStyle w:val="PolicyText"/>
      </w:pPr>
      <w:r>
        <w:t>KCV’s designated Safeguarding Deputy is:</w:t>
      </w:r>
    </w:p>
    <w:p w14:paraId="55F3C68A" w14:textId="77777777" w:rsidR="00004183" w:rsidRDefault="00004183" w:rsidP="00004183">
      <w:pPr>
        <w:pStyle w:val="PolicyText"/>
      </w:pPr>
      <w:r>
        <w:t>[name]</w:t>
      </w:r>
    </w:p>
    <w:p w14:paraId="04149260" w14:textId="77777777" w:rsidR="00004183" w:rsidRDefault="00004183" w:rsidP="00004183">
      <w:pPr>
        <w:pStyle w:val="PolicyText"/>
      </w:pPr>
      <w:r>
        <w:t>[Email/phone number]</w:t>
      </w:r>
    </w:p>
    <w:p w14:paraId="49A0B5FC" w14:textId="5FBC1FC9" w:rsidR="00942757" w:rsidRDefault="00942757" w:rsidP="00942757">
      <w:pPr>
        <w:pStyle w:val="PolicyText"/>
      </w:pPr>
      <w:r>
        <w:t>It is the responsibility of the Safeguarding</w:t>
      </w:r>
      <w:r w:rsidR="00004183">
        <w:t xml:space="preserve"> Officers</w:t>
      </w:r>
      <w:r>
        <w:t xml:space="preserve"> to report the matter to the appropriate local adult social services duty social worker. A written record of the date and time of the report shall be made, and the report must include the name and position of the person to whom the matter is reported. The telephone report must be confirmed in writing to the relevant local authority Adult Social Services department within 24 hours.</w:t>
      </w:r>
    </w:p>
    <w:p w14:paraId="35726B6D" w14:textId="77777777" w:rsidR="00942757" w:rsidRDefault="00942757" w:rsidP="00004183">
      <w:pPr>
        <w:pStyle w:val="PolicySubheading"/>
      </w:pPr>
      <w:r>
        <w:t>7.0 Procedure for responding appropriately to an allegation of abuse</w:t>
      </w:r>
    </w:p>
    <w:p w14:paraId="018FF723" w14:textId="77777777" w:rsidR="00942757" w:rsidRDefault="00942757" w:rsidP="00942757">
      <w:pPr>
        <w:pStyle w:val="PolicyText"/>
      </w:pPr>
      <w:r>
        <w:t xml:space="preserve">What to do if an adult tells you that they are being abused, or are frightened about abuse, or if you suspect or have witnessed a vulnerable adult being abused: </w:t>
      </w:r>
    </w:p>
    <w:p w14:paraId="0B08B895" w14:textId="1A719EE8" w:rsidR="00942757" w:rsidRDefault="00942757" w:rsidP="00004183">
      <w:pPr>
        <w:pStyle w:val="PolicyText"/>
        <w:numPr>
          <w:ilvl w:val="0"/>
          <w:numId w:val="20"/>
        </w:numPr>
      </w:pPr>
      <w:r>
        <w:t>Make sure the individual is safe.</w:t>
      </w:r>
    </w:p>
    <w:p w14:paraId="689DEED0" w14:textId="13E9F0F1" w:rsidR="00942757" w:rsidRDefault="00942757" w:rsidP="00004183">
      <w:pPr>
        <w:pStyle w:val="PolicyText"/>
        <w:numPr>
          <w:ilvl w:val="0"/>
          <w:numId w:val="20"/>
        </w:numPr>
      </w:pPr>
      <w:r>
        <w:t>Assess whether emergency services are required and if needed call them.</w:t>
      </w:r>
    </w:p>
    <w:p w14:paraId="0DDFA03B" w14:textId="10CD0C0B" w:rsidR="00942757" w:rsidRDefault="00942757" w:rsidP="00004183">
      <w:pPr>
        <w:pStyle w:val="PolicyText"/>
        <w:numPr>
          <w:ilvl w:val="0"/>
          <w:numId w:val="20"/>
        </w:numPr>
      </w:pPr>
      <w:r>
        <w:lastRenderedPageBreak/>
        <w:t>Listen non-judgmentally.</w:t>
      </w:r>
    </w:p>
    <w:p w14:paraId="5712C090" w14:textId="2553C835" w:rsidR="00942757" w:rsidRDefault="00942757" w:rsidP="00004183">
      <w:pPr>
        <w:pStyle w:val="PolicyText"/>
        <w:numPr>
          <w:ilvl w:val="0"/>
          <w:numId w:val="20"/>
        </w:numPr>
      </w:pPr>
      <w:r>
        <w:t>Offer support and reassurance.</w:t>
      </w:r>
    </w:p>
    <w:p w14:paraId="057238F2" w14:textId="1A34544D" w:rsidR="00942757" w:rsidRDefault="00942757" w:rsidP="00004183">
      <w:pPr>
        <w:pStyle w:val="PolicyText"/>
        <w:numPr>
          <w:ilvl w:val="0"/>
          <w:numId w:val="20"/>
        </w:numPr>
      </w:pPr>
      <w:r>
        <w:t>Ascertain and establish the basic facts.</w:t>
      </w:r>
    </w:p>
    <w:p w14:paraId="09FF4D38" w14:textId="6492C68B" w:rsidR="00942757" w:rsidRDefault="00942757" w:rsidP="00004183">
      <w:pPr>
        <w:pStyle w:val="PolicyText"/>
        <w:numPr>
          <w:ilvl w:val="0"/>
          <w:numId w:val="20"/>
        </w:numPr>
      </w:pPr>
      <w:r>
        <w:t>Make careful notes and obtain agreement on them – and action appropriately.</w:t>
      </w:r>
    </w:p>
    <w:p w14:paraId="224224C1" w14:textId="6DD7A1A7" w:rsidR="00942757" w:rsidRDefault="00942757" w:rsidP="00004183">
      <w:pPr>
        <w:pStyle w:val="PolicyText"/>
        <w:numPr>
          <w:ilvl w:val="0"/>
          <w:numId w:val="20"/>
        </w:numPr>
      </w:pPr>
      <w:r>
        <w:t>Ensure notation of dates, time and persons present are correct and agreed.</w:t>
      </w:r>
    </w:p>
    <w:p w14:paraId="5E88B78F" w14:textId="046177BC" w:rsidR="00942757" w:rsidRDefault="00942757" w:rsidP="00004183">
      <w:pPr>
        <w:pStyle w:val="PolicyText"/>
        <w:numPr>
          <w:ilvl w:val="0"/>
          <w:numId w:val="20"/>
        </w:numPr>
      </w:pPr>
      <w:r>
        <w:t>Take all necessary precautions to preserve forensic evidence.</w:t>
      </w:r>
    </w:p>
    <w:p w14:paraId="3DF6D2AC" w14:textId="2A3B28B6" w:rsidR="00942757" w:rsidRDefault="00942757" w:rsidP="00004183">
      <w:pPr>
        <w:pStyle w:val="PolicyText"/>
        <w:numPr>
          <w:ilvl w:val="0"/>
          <w:numId w:val="20"/>
        </w:numPr>
      </w:pPr>
      <w:r>
        <w:t>Follow correct procedure.</w:t>
      </w:r>
    </w:p>
    <w:p w14:paraId="40FCF5A3" w14:textId="3A95978C" w:rsidR="00942757" w:rsidRDefault="00942757" w:rsidP="00004183">
      <w:pPr>
        <w:pStyle w:val="PolicyText"/>
        <w:numPr>
          <w:ilvl w:val="0"/>
          <w:numId w:val="20"/>
        </w:numPr>
      </w:pPr>
      <w:r>
        <w:t>Explain areas of confidentiality.</w:t>
      </w:r>
    </w:p>
    <w:p w14:paraId="4368504C" w14:textId="17E3B000" w:rsidR="00942757" w:rsidRDefault="00942757" w:rsidP="00004183">
      <w:pPr>
        <w:pStyle w:val="PolicyText"/>
        <w:numPr>
          <w:ilvl w:val="0"/>
          <w:numId w:val="20"/>
        </w:numPr>
      </w:pPr>
      <w:r>
        <w:t>Immediately speak to your line manager for support and guidance.</w:t>
      </w:r>
    </w:p>
    <w:p w14:paraId="13DD4489" w14:textId="14E3B72F" w:rsidR="00942757" w:rsidRDefault="00942757" w:rsidP="00004183">
      <w:pPr>
        <w:pStyle w:val="PolicyText"/>
        <w:numPr>
          <w:ilvl w:val="0"/>
          <w:numId w:val="20"/>
        </w:numPr>
      </w:pPr>
      <w:r>
        <w:t>Explain the procedure to the individual making the allegation.</w:t>
      </w:r>
    </w:p>
    <w:p w14:paraId="2A9AF5D7" w14:textId="7EF74EFA" w:rsidR="00942757" w:rsidRDefault="00942757" w:rsidP="00004183">
      <w:pPr>
        <w:pStyle w:val="PolicyText"/>
        <w:numPr>
          <w:ilvl w:val="0"/>
          <w:numId w:val="20"/>
        </w:numPr>
      </w:pPr>
      <w:r>
        <w:t>Remember the need for ongoing support.</w:t>
      </w:r>
    </w:p>
    <w:p w14:paraId="15D60A2E" w14:textId="77777777" w:rsidR="00942757" w:rsidRDefault="00942757" w:rsidP="00942757">
      <w:pPr>
        <w:pStyle w:val="PolicyText"/>
      </w:pPr>
      <w:r>
        <w:t>Do not:</w:t>
      </w:r>
    </w:p>
    <w:p w14:paraId="4F514EB7" w14:textId="7D68ACAB" w:rsidR="00942757" w:rsidRDefault="00942757" w:rsidP="00004183">
      <w:pPr>
        <w:pStyle w:val="PolicyText"/>
        <w:numPr>
          <w:ilvl w:val="0"/>
          <w:numId w:val="20"/>
        </w:numPr>
      </w:pPr>
      <w:r>
        <w:t>Confront the alleged abuser.</w:t>
      </w:r>
    </w:p>
    <w:p w14:paraId="7D45B1AC" w14:textId="33B50BC4" w:rsidR="00942757" w:rsidRDefault="00942757" w:rsidP="00004183">
      <w:pPr>
        <w:pStyle w:val="PolicyText"/>
        <w:numPr>
          <w:ilvl w:val="0"/>
          <w:numId w:val="20"/>
        </w:numPr>
      </w:pPr>
      <w:r>
        <w:t>Be judgmental or voice your own opinion.</w:t>
      </w:r>
    </w:p>
    <w:p w14:paraId="75BE029A" w14:textId="43912A8E" w:rsidR="00942757" w:rsidRDefault="00942757" w:rsidP="00004183">
      <w:pPr>
        <w:pStyle w:val="PolicyText"/>
        <w:numPr>
          <w:ilvl w:val="0"/>
          <w:numId w:val="20"/>
        </w:numPr>
      </w:pPr>
      <w:r>
        <w:t>Be dismissive of the concern.</w:t>
      </w:r>
    </w:p>
    <w:p w14:paraId="1576B62C" w14:textId="331A66F3" w:rsidR="00942757" w:rsidRDefault="00942757" w:rsidP="00004183">
      <w:pPr>
        <w:pStyle w:val="PolicyText"/>
        <w:numPr>
          <w:ilvl w:val="0"/>
          <w:numId w:val="20"/>
        </w:numPr>
      </w:pPr>
      <w:r>
        <w:t>Investigate or interview beyond that which is necessary to establish the basic facts.</w:t>
      </w:r>
    </w:p>
    <w:p w14:paraId="063782F1" w14:textId="16EC3832" w:rsidR="00942757" w:rsidRDefault="00942757" w:rsidP="00004183">
      <w:pPr>
        <w:pStyle w:val="PolicyText"/>
        <w:numPr>
          <w:ilvl w:val="0"/>
          <w:numId w:val="20"/>
        </w:numPr>
      </w:pPr>
      <w:r>
        <w:t>Disturb or destroy possible forensic evidence.</w:t>
      </w:r>
    </w:p>
    <w:p w14:paraId="1AA6F992" w14:textId="7F348750" w:rsidR="00942757" w:rsidRDefault="00942757" w:rsidP="00004183">
      <w:pPr>
        <w:pStyle w:val="PolicyText"/>
        <w:numPr>
          <w:ilvl w:val="0"/>
          <w:numId w:val="20"/>
        </w:numPr>
      </w:pPr>
      <w:r>
        <w:t>Consult with persons not directly involved with the situation.</w:t>
      </w:r>
    </w:p>
    <w:p w14:paraId="12C11B5A" w14:textId="1D380E43" w:rsidR="00942757" w:rsidRDefault="00942757" w:rsidP="00004183">
      <w:pPr>
        <w:pStyle w:val="PolicyText"/>
        <w:numPr>
          <w:ilvl w:val="0"/>
          <w:numId w:val="20"/>
        </w:numPr>
      </w:pPr>
      <w:r>
        <w:t>Ask leading questions.</w:t>
      </w:r>
    </w:p>
    <w:p w14:paraId="1542FFD9" w14:textId="0A87E01B" w:rsidR="00942757" w:rsidRDefault="00942757" w:rsidP="00004183">
      <w:pPr>
        <w:pStyle w:val="PolicyText"/>
        <w:numPr>
          <w:ilvl w:val="0"/>
          <w:numId w:val="20"/>
        </w:numPr>
      </w:pPr>
      <w:r>
        <w:t>Assume Information.</w:t>
      </w:r>
    </w:p>
    <w:p w14:paraId="465DEB7E" w14:textId="19AD3564" w:rsidR="00942757" w:rsidRDefault="00942757" w:rsidP="00004183">
      <w:pPr>
        <w:pStyle w:val="PolicyText"/>
        <w:numPr>
          <w:ilvl w:val="0"/>
          <w:numId w:val="20"/>
        </w:numPr>
      </w:pPr>
      <w:r>
        <w:t>Make promises.</w:t>
      </w:r>
    </w:p>
    <w:p w14:paraId="1C201B70" w14:textId="24E5FF0B" w:rsidR="00942757" w:rsidRDefault="00942757" w:rsidP="00004183">
      <w:pPr>
        <w:pStyle w:val="PolicyText"/>
        <w:numPr>
          <w:ilvl w:val="0"/>
          <w:numId w:val="20"/>
        </w:numPr>
      </w:pPr>
      <w:r>
        <w:t>Ignore the allegation.</w:t>
      </w:r>
    </w:p>
    <w:p w14:paraId="16C9694A" w14:textId="267607F0" w:rsidR="00942757" w:rsidRDefault="00942757" w:rsidP="00004183">
      <w:pPr>
        <w:pStyle w:val="PolicyText"/>
        <w:numPr>
          <w:ilvl w:val="0"/>
          <w:numId w:val="20"/>
        </w:numPr>
      </w:pPr>
      <w:r>
        <w:t>Elaborate or be subjective in your notes.</w:t>
      </w:r>
    </w:p>
    <w:p w14:paraId="47D8E7F1" w14:textId="191B4BD8" w:rsidR="00942757" w:rsidRDefault="00942757" w:rsidP="00004183">
      <w:pPr>
        <w:pStyle w:val="PolicyText"/>
        <w:numPr>
          <w:ilvl w:val="0"/>
          <w:numId w:val="20"/>
        </w:numPr>
      </w:pPr>
      <w:r>
        <w:t>Panic.</w:t>
      </w:r>
    </w:p>
    <w:p w14:paraId="6746DAE5" w14:textId="77777777" w:rsidR="00942757" w:rsidRDefault="00942757" w:rsidP="00942757">
      <w:pPr>
        <w:pStyle w:val="PolicyText"/>
      </w:pPr>
      <w:r>
        <w:t>It is important to remember that the person who first encounters a case of alleged abuse is not responsible for deciding whether abuse has occurred. This is a task for the professional adult protection agencies, following a referral from the designated Vulnerable Adult Protection Officer.</w:t>
      </w:r>
    </w:p>
    <w:p w14:paraId="244874EF" w14:textId="77777777" w:rsidR="00942757" w:rsidRDefault="00942757" w:rsidP="00942757">
      <w:pPr>
        <w:pStyle w:val="PolicyText"/>
      </w:pPr>
      <w:r>
        <w:t xml:space="preserve">It is important that vulnerable adults are protected from abuse. All complaints, allegations or suspicions must be taken seriously and reported to the appropriate persons. </w:t>
      </w:r>
    </w:p>
    <w:p w14:paraId="0ABAC454" w14:textId="77777777" w:rsidR="00942757" w:rsidRDefault="00942757" w:rsidP="00942757">
      <w:pPr>
        <w:pStyle w:val="PolicyText"/>
      </w:pPr>
      <w:r>
        <w:t xml:space="preserve">This procedure must be followed whenever an allegation of abuse is made or when there is a suspicion that a vulnerable adult has been abused. </w:t>
      </w:r>
    </w:p>
    <w:p w14:paraId="3A0A7347" w14:textId="77777777" w:rsidR="00942757" w:rsidRDefault="00942757" w:rsidP="00942757">
      <w:pPr>
        <w:pStyle w:val="PolicyText"/>
      </w:pPr>
      <w:r>
        <w:t>Promises of confidentiality should not be given as this may conflict with the need to ensure the safety and welfare of the individual.</w:t>
      </w:r>
    </w:p>
    <w:p w14:paraId="3DF53D70" w14:textId="77777777" w:rsidR="00942757" w:rsidRDefault="00942757" w:rsidP="00942757">
      <w:pPr>
        <w:pStyle w:val="PolicyText"/>
      </w:pPr>
      <w:r>
        <w:lastRenderedPageBreak/>
        <w:t>A full record shall be made as soon as possible of the nature of the allegation and any other relevant information by completing the vulnerable adult concern form and handing this to a senior member of staff.</w:t>
      </w:r>
    </w:p>
    <w:p w14:paraId="0442D8F1" w14:textId="77777777" w:rsidR="00942757" w:rsidRDefault="00942757" w:rsidP="00942757">
      <w:pPr>
        <w:pStyle w:val="PolicyText"/>
      </w:pPr>
      <w:r>
        <w:t>This should include information in relation to the date, the time, the place where the alleged abuse happened, your name and the names of others present, the name of the complainant and, where different, the name of the adult who has allegedly been abused, the nature of the alleged abuse, a description of any injuries observed, the account which has been given of the allegation.</w:t>
      </w:r>
    </w:p>
    <w:p w14:paraId="13895492" w14:textId="77777777" w:rsidR="00942757" w:rsidRDefault="00942757" w:rsidP="00942757">
      <w:pPr>
        <w:pStyle w:val="PolicyText"/>
      </w:pPr>
      <w:r>
        <w:t xml:space="preserve">The following information can be found on KCC’s website: </w:t>
      </w:r>
    </w:p>
    <w:p w14:paraId="167E0F4D" w14:textId="04209C05" w:rsidR="00942757" w:rsidRDefault="00E02A2D" w:rsidP="00942757">
      <w:pPr>
        <w:pStyle w:val="PolicyText"/>
      </w:pPr>
      <w:hyperlink r:id="rId13" w:history="1">
        <w:r w:rsidR="00004183" w:rsidRPr="00780BC0">
          <w:rPr>
            <w:rStyle w:val="Hyperlink"/>
          </w:rPr>
          <w:t>https://www.kent.gov.uk/social-care-and-health/report-abuse</w:t>
        </w:r>
      </w:hyperlink>
      <w:r w:rsidR="00004183">
        <w:t xml:space="preserve"> </w:t>
      </w:r>
    </w:p>
    <w:p w14:paraId="7D1DC187" w14:textId="77777777" w:rsidR="00942757" w:rsidRDefault="00942757" w:rsidP="00942757">
      <w:pPr>
        <w:pStyle w:val="PolicyText"/>
      </w:pPr>
      <w:r>
        <w:t>KCC has staff available 24 hours a day, 7 days a week to talk to you about your worries. During the day and in office hours:</w:t>
      </w:r>
    </w:p>
    <w:p w14:paraId="79965FF6" w14:textId="68298F73" w:rsidR="00942757" w:rsidRDefault="00942757" w:rsidP="00004183">
      <w:pPr>
        <w:pStyle w:val="PolicyText"/>
        <w:numPr>
          <w:ilvl w:val="0"/>
          <w:numId w:val="20"/>
        </w:numPr>
      </w:pPr>
      <w:r>
        <w:t>Phone: 03000 41 61 61</w:t>
      </w:r>
    </w:p>
    <w:p w14:paraId="18EC4D64" w14:textId="1D712E4F" w:rsidR="00942757" w:rsidRDefault="00942757" w:rsidP="00004183">
      <w:pPr>
        <w:pStyle w:val="PolicyText"/>
        <w:numPr>
          <w:ilvl w:val="0"/>
          <w:numId w:val="20"/>
        </w:numPr>
      </w:pPr>
      <w:r>
        <w:t>Email: social.services@kent.gov.uk</w:t>
      </w:r>
    </w:p>
    <w:p w14:paraId="3C61B3E5" w14:textId="1A0A4606" w:rsidR="00942757" w:rsidRDefault="00942757" w:rsidP="00004183">
      <w:pPr>
        <w:pStyle w:val="PolicyText"/>
        <w:numPr>
          <w:ilvl w:val="0"/>
          <w:numId w:val="20"/>
        </w:numPr>
      </w:pPr>
      <w:r>
        <w:t>Out of hours and in an emergency - call 03000 41 91 91</w:t>
      </w:r>
    </w:p>
    <w:p w14:paraId="0B3F255F" w14:textId="77777777" w:rsidR="00942757" w:rsidRDefault="00942757" w:rsidP="00942757">
      <w:pPr>
        <w:pStyle w:val="PolicyText"/>
      </w:pPr>
      <w:r>
        <w:t>If you think someone is in immediate danger the best thing to do is call 999 for the emergency services.</w:t>
      </w:r>
    </w:p>
    <w:p w14:paraId="01DED5A3" w14:textId="5BA66D37" w:rsidR="00942757" w:rsidRDefault="00942757" w:rsidP="00942757">
      <w:pPr>
        <w:pStyle w:val="PolicyText"/>
      </w:pPr>
      <w:r>
        <w:t>Don't assume that someone else will take responsibility. You could help to save someone’s life. If you are worried, report it.</w:t>
      </w:r>
    </w:p>
    <w:p w14:paraId="5CB6837D" w14:textId="77777777" w:rsidR="00942757" w:rsidRDefault="00942757" w:rsidP="00004183">
      <w:pPr>
        <w:pStyle w:val="PolicySubheading"/>
      </w:pPr>
      <w:r>
        <w:t>7.1 Response times</w:t>
      </w:r>
    </w:p>
    <w:p w14:paraId="60DF31DF" w14:textId="62BC3E55" w:rsidR="00942757" w:rsidRDefault="00942757" w:rsidP="00942757">
      <w:pPr>
        <w:pStyle w:val="PolicyText"/>
      </w:pPr>
      <w:r>
        <w:t xml:space="preserve">It is important that </w:t>
      </w:r>
      <w:r w:rsidR="00004183">
        <w:t>KCV</w:t>
      </w:r>
      <w:r>
        <w:t xml:space="preserve"> act quickly if there is a safeguarding concern. If you believe the person to be at immediate risk of harm or abuse or if a crime has been committed, then contact the police straight away on 999. </w:t>
      </w:r>
    </w:p>
    <w:p w14:paraId="6D891239" w14:textId="77777777" w:rsidR="00942757" w:rsidRDefault="00942757" w:rsidP="00942757">
      <w:pPr>
        <w:pStyle w:val="PolicyText"/>
      </w:pPr>
      <w:r>
        <w:t xml:space="preserve">If the harm or abuse is not immediate then you should: </w:t>
      </w:r>
    </w:p>
    <w:p w14:paraId="3E8D0939" w14:textId="53347018" w:rsidR="00942757" w:rsidRDefault="00942757" w:rsidP="00004183">
      <w:pPr>
        <w:pStyle w:val="PolicyText"/>
        <w:numPr>
          <w:ilvl w:val="0"/>
          <w:numId w:val="20"/>
        </w:numPr>
      </w:pPr>
      <w:r>
        <w:t xml:space="preserve">Report to </w:t>
      </w:r>
      <w:r w:rsidR="00004183">
        <w:t>a KCV</w:t>
      </w:r>
      <w:r>
        <w:t xml:space="preserve"> Designated Safeguarding </w:t>
      </w:r>
      <w:r w:rsidR="00004183">
        <w:t>Officer</w:t>
      </w:r>
      <w:r>
        <w:t xml:space="preserve"> – same working day.</w:t>
      </w:r>
    </w:p>
    <w:p w14:paraId="43A79491" w14:textId="7347A643" w:rsidR="00942757" w:rsidRDefault="00942757" w:rsidP="00004183">
      <w:pPr>
        <w:pStyle w:val="PolicyText"/>
        <w:numPr>
          <w:ilvl w:val="0"/>
          <w:numId w:val="20"/>
        </w:numPr>
      </w:pPr>
      <w:r>
        <w:t>Report to Social Services – same working day.</w:t>
      </w:r>
    </w:p>
    <w:p w14:paraId="0EFB55BF" w14:textId="1EC25001" w:rsidR="00942757" w:rsidRDefault="00942757" w:rsidP="00004183">
      <w:pPr>
        <w:pStyle w:val="PolicyText"/>
        <w:numPr>
          <w:ilvl w:val="0"/>
          <w:numId w:val="20"/>
        </w:numPr>
      </w:pPr>
      <w:r>
        <w:t>Social Services will decide on whether to proceed with safeguarding protocol by the end of the next working day.</w:t>
      </w:r>
    </w:p>
    <w:p w14:paraId="5B153669" w14:textId="279F4424" w:rsidR="00942757" w:rsidRDefault="00942757" w:rsidP="00004183">
      <w:pPr>
        <w:pStyle w:val="PolicyText"/>
        <w:numPr>
          <w:ilvl w:val="0"/>
          <w:numId w:val="20"/>
        </w:numPr>
      </w:pPr>
      <w:r>
        <w:t>Do not get involved in further investigations with the person – this is the responsibility of the local authority. If appropriate they will draw up a strategy and collect information/ investigate further.</w:t>
      </w:r>
    </w:p>
    <w:p w14:paraId="57D5328F" w14:textId="77777777" w:rsidR="00942757" w:rsidRDefault="00942757" w:rsidP="00942757">
      <w:pPr>
        <w:pStyle w:val="PolicyText"/>
      </w:pPr>
      <w:r>
        <w:t>All adults have the right to be safe from harm and should be able to live free from fear of abuse, neglect, and exploitation.</w:t>
      </w:r>
    </w:p>
    <w:p w14:paraId="29017EAD" w14:textId="77777777" w:rsidR="00942757" w:rsidRDefault="00942757" w:rsidP="00004183">
      <w:pPr>
        <w:pStyle w:val="PolicySubheading"/>
      </w:pPr>
      <w:r>
        <w:t>8.0 Confidentiality</w:t>
      </w:r>
    </w:p>
    <w:p w14:paraId="39658DD0" w14:textId="77777777" w:rsidR="00942757" w:rsidRDefault="00942757" w:rsidP="00942757">
      <w:pPr>
        <w:pStyle w:val="PolicyText"/>
      </w:pPr>
      <w:r>
        <w:t>Vulnerable adult protection raises issues of confidentiality which should be clearly understood by all.</w:t>
      </w:r>
    </w:p>
    <w:p w14:paraId="07FE2BAC" w14:textId="77777777" w:rsidR="00942757" w:rsidRDefault="00942757" w:rsidP="00942757">
      <w:pPr>
        <w:pStyle w:val="PolicyText"/>
      </w:pPr>
      <w:r>
        <w:t xml:space="preserve">Staff and volunteers have a professional responsibility to share relevant information about the protection of vulnerable adults with other professionals, particularly investigative </w:t>
      </w:r>
      <w:proofErr w:type="gramStart"/>
      <w:r>
        <w:t>agencies</w:t>
      </w:r>
      <w:proofErr w:type="gramEnd"/>
      <w:r>
        <w:t xml:space="preserve"> and adult social services.</w:t>
      </w:r>
    </w:p>
    <w:p w14:paraId="3CDE276C" w14:textId="77777777" w:rsidR="00942757" w:rsidRDefault="00942757" w:rsidP="00942757">
      <w:pPr>
        <w:pStyle w:val="PolicyText"/>
      </w:pPr>
      <w:r>
        <w:lastRenderedPageBreak/>
        <w:t xml:space="preserve">Clear boundaries of confidentiality will be communicated to all. </w:t>
      </w:r>
    </w:p>
    <w:p w14:paraId="319B2E15" w14:textId="77777777" w:rsidR="00942757" w:rsidRDefault="00942757" w:rsidP="00942757">
      <w:pPr>
        <w:pStyle w:val="PolicyText"/>
      </w:pPr>
      <w:r>
        <w:t xml:space="preserve">All personal information regarding a vulnerable adult will be kept confidential. All written records will be kept in a secure area for a specific time as identified in data protection guidelines. Records will only record details required in the initial contact form. </w:t>
      </w:r>
    </w:p>
    <w:p w14:paraId="294398EC" w14:textId="77777777" w:rsidR="00942757" w:rsidRDefault="00942757" w:rsidP="00942757">
      <w:pPr>
        <w:pStyle w:val="PolicyText"/>
      </w:pPr>
      <w:r>
        <w:t>If an adult confides in a member of staff and requests that the information is kept secret, it is important that the member of staff tells the adult sensitively that he or she has a responsibility to refer cases of alleged abuse to the appropriate agencies.</w:t>
      </w:r>
    </w:p>
    <w:p w14:paraId="214E5F8A" w14:textId="77777777" w:rsidR="00942757" w:rsidRDefault="00942757" w:rsidP="00942757">
      <w:pPr>
        <w:pStyle w:val="PolicyText"/>
      </w:pPr>
      <w:r>
        <w:t xml:space="preserve">Within that context, the adult should, however, be assured that the matter will be disclosed only to people who need to know about it. </w:t>
      </w:r>
    </w:p>
    <w:p w14:paraId="56B407C0" w14:textId="77777777" w:rsidR="00942757" w:rsidRDefault="00942757" w:rsidP="00942757">
      <w:pPr>
        <w:pStyle w:val="PolicyText"/>
      </w:pPr>
      <w:r>
        <w:t>Where possible, consent should be obtained from the adult before sharing personal information with third parties. In some circumstances obtaining consent may be neither possible nor desirable as the safety and welfare of the vulnerable adult is the priority.</w:t>
      </w:r>
    </w:p>
    <w:p w14:paraId="539A29B0" w14:textId="77777777" w:rsidR="00942757" w:rsidRDefault="00942757" w:rsidP="00942757">
      <w:pPr>
        <w:pStyle w:val="PolicyText"/>
      </w:pPr>
      <w:r>
        <w:t>Where a disclosure has been made, staff should let the adult know the position regarding their role and what action they must take, if any.</w:t>
      </w:r>
    </w:p>
    <w:p w14:paraId="5C3E3614" w14:textId="77777777" w:rsidR="00942757" w:rsidRDefault="00942757" w:rsidP="00942757">
      <w:pPr>
        <w:pStyle w:val="PolicyText"/>
      </w:pPr>
      <w:r>
        <w:t>Staff should assure the adult that they will keep them informed of any action to be taken and why. The adult’s involvement in the process of sharing information should be fully considered and their wishes and feelings considered.</w:t>
      </w:r>
    </w:p>
    <w:p w14:paraId="7057461D" w14:textId="0C6D90A7" w:rsidR="00942757" w:rsidRDefault="00942757" w:rsidP="00004183">
      <w:pPr>
        <w:pStyle w:val="PolicySubheading"/>
      </w:pPr>
      <w:r>
        <w:t>9.0 The role of key individuals and agencies</w:t>
      </w:r>
    </w:p>
    <w:p w14:paraId="5F29BC8C" w14:textId="77777777" w:rsidR="00942757" w:rsidRDefault="00942757" w:rsidP="00942757">
      <w:pPr>
        <w:pStyle w:val="PolicyText"/>
      </w:pPr>
      <w:r>
        <w:t>The Police</w:t>
      </w:r>
    </w:p>
    <w:p w14:paraId="5F3323FE" w14:textId="77777777" w:rsidR="00942757" w:rsidRDefault="00942757" w:rsidP="00942757">
      <w:pPr>
        <w:pStyle w:val="PolicyText"/>
      </w:pPr>
      <w:r>
        <w:t>The Police play a vital role in Safeguarding Adults. In cases involving alleged criminal acts it becomes the responsibility of the police to investigate allegations of crime, by preserving and gathering evidence. Where a crime is identified, the police will be the lead agency and they will direct investigations in line with legal and other procedural protocols.</w:t>
      </w:r>
    </w:p>
    <w:p w14:paraId="47F8BF02" w14:textId="5A81927A" w:rsidR="00942757" w:rsidRDefault="00942757" w:rsidP="00942757">
      <w:pPr>
        <w:pStyle w:val="PolicyText"/>
      </w:pPr>
      <w:r>
        <w:t xml:space="preserve">Designated Safeguarding </w:t>
      </w:r>
      <w:r w:rsidR="00004183">
        <w:t>Officers</w:t>
      </w:r>
    </w:p>
    <w:p w14:paraId="2CC4939C" w14:textId="77777777" w:rsidR="00942757" w:rsidRDefault="00942757" w:rsidP="00942757">
      <w:pPr>
        <w:pStyle w:val="PolicyText"/>
      </w:pPr>
      <w:r>
        <w:t>The role of the safeguarding lead is to support the member of staff or volunteer involved with the incident and to ensure the correct procedures are followed.</w:t>
      </w:r>
    </w:p>
    <w:p w14:paraId="0C5F8005" w14:textId="77777777" w:rsidR="00942757" w:rsidRDefault="00942757" w:rsidP="00942757">
      <w:pPr>
        <w:pStyle w:val="PolicyText"/>
      </w:pPr>
      <w:r>
        <w:t>Employees and Volunteers</w:t>
      </w:r>
    </w:p>
    <w:p w14:paraId="46BF0A12" w14:textId="2C1DA354" w:rsidR="00942757" w:rsidRDefault="00942757" w:rsidP="00942757">
      <w:pPr>
        <w:pStyle w:val="PolicyText"/>
      </w:pPr>
      <w:r>
        <w:t xml:space="preserve">Employees and Volunteers may be more likely to witness abuse or be the first to be told about alleged abuse, therefore it is important that they listen non-judgmentally to the concerns, record all that is said in an objective manner, report to the Safeguarding </w:t>
      </w:r>
      <w:r w:rsidR="00004183">
        <w:t>Officers</w:t>
      </w:r>
      <w:r>
        <w:t>, and, in an emergency, contact the police immediately.</w:t>
      </w:r>
    </w:p>
    <w:p w14:paraId="29F22E9B" w14:textId="77777777" w:rsidR="00942757" w:rsidRDefault="00942757" w:rsidP="00004183">
      <w:pPr>
        <w:pStyle w:val="PolicySubheading"/>
      </w:pPr>
      <w:r>
        <w:t xml:space="preserve">9.1 Responsibility of all Trustees </w:t>
      </w:r>
    </w:p>
    <w:p w14:paraId="4AF2B086" w14:textId="23015785" w:rsidR="00942757" w:rsidRDefault="00942757" w:rsidP="00942757">
      <w:pPr>
        <w:pStyle w:val="PolicyText"/>
      </w:pPr>
      <w:r>
        <w:t>Trustees are responsible for safeguarding even if certain aspects of the work are delegated to other members of staff (</w:t>
      </w:r>
      <w:r w:rsidR="00004183">
        <w:t>KCV</w:t>
      </w:r>
      <w:r>
        <w:t xml:space="preserve"> Designated Adult Safeguarding </w:t>
      </w:r>
      <w:r w:rsidR="00004183">
        <w:t>Officers</w:t>
      </w:r>
      <w:r>
        <w:t xml:space="preserve">). </w:t>
      </w:r>
    </w:p>
    <w:p w14:paraId="5B6AD1B4" w14:textId="77777777" w:rsidR="00942757" w:rsidRDefault="00942757" w:rsidP="00942757">
      <w:pPr>
        <w:pStyle w:val="PolicyText"/>
      </w:pPr>
      <w:r>
        <w:t xml:space="preserve">Trustees should proactively safeguard and promote the well-being and welfare of their charity’s beneficiaries and take reasonable steps to protect these beneficiaries, and others who </w:t>
      </w:r>
      <w:proofErr w:type="gramStart"/>
      <w:r>
        <w:t>come into contact with</w:t>
      </w:r>
      <w:proofErr w:type="gramEnd"/>
      <w:r>
        <w:t xml:space="preserve"> the charity. </w:t>
      </w:r>
    </w:p>
    <w:p w14:paraId="2BFBDC1B" w14:textId="77777777" w:rsidR="00942757" w:rsidRDefault="00942757" w:rsidP="00942757">
      <w:pPr>
        <w:pStyle w:val="PolicyText"/>
      </w:pPr>
      <w:r>
        <w:t xml:space="preserve">This is a key governance priority. Any failure by trustees to manage safeguarding risks adequately would be of serious regulatory concern to the Charities Commission who may </w:t>
      </w:r>
      <w:r>
        <w:lastRenderedPageBreak/>
        <w:t>consider this to be misconduct and/or mismanagement in the administration of the charity and it may also be a breach of trustee duty.</w:t>
      </w:r>
    </w:p>
    <w:p w14:paraId="7837B8FE" w14:textId="77777777" w:rsidR="00942757" w:rsidRDefault="00942757" w:rsidP="00942757">
      <w:pPr>
        <w:pStyle w:val="PolicyText"/>
      </w:pPr>
      <w:r>
        <w:t>The Charities Commission requires charities to report serious incidents. A serious incident is an adverse event, whether actual or alleged, which results in or risks significant harm to the charity’s work, beneficiaries, or reputation; this includes safeguarding issues.</w:t>
      </w:r>
    </w:p>
    <w:p w14:paraId="0CC0E987" w14:textId="77777777" w:rsidR="00942757" w:rsidRDefault="00942757" w:rsidP="00942757">
      <w:pPr>
        <w:pStyle w:val="PolicyText"/>
      </w:pPr>
      <w:r>
        <w:t>If a serious incident takes place, Trustees need to report what happened and explain how the charity is dealing with it, even if it has already been reported it to the police, donors, or another regulator.</w:t>
      </w:r>
    </w:p>
    <w:p w14:paraId="5FCBA041" w14:textId="77777777" w:rsidR="00942757" w:rsidRDefault="00942757" w:rsidP="00942757">
      <w:pPr>
        <w:pStyle w:val="PolicyText"/>
      </w:pPr>
      <w:r>
        <w:t>In the context of safeguarding concerns, The Charity Commission considers the regulatory priority risk issue to be concerns about serious harm to, and the abuse of adults in connection with a charity. In practice, the Commission is likely to become involved in one-to-one engagement with charities:</w:t>
      </w:r>
    </w:p>
    <w:p w14:paraId="21CFD101" w14:textId="78D7DA50" w:rsidR="00942757" w:rsidRDefault="00942757" w:rsidP="00004183">
      <w:pPr>
        <w:pStyle w:val="PolicyText"/>
        <w:numPr>
          <w:ilvl w:val="0"/>
          <w:numId w:val="20"/>
        </w:numPr>
      </w:pPr>
      <w:r>
        <w:t>When there are concerns or allegations that a child or adult at risk has been abused or mistreated, and this is in connection with the activities of a charity, or someone closely involved in a charity.</w:t>
      </w:r>
    </w:p>
    <w:p w14:paraId="43B347AB" w14:textId="6C733B9F" w:rsidR="00942757" w:rsidRDefault="00942757" w:rsidP="00942757">
      <w:pPr>
        <w:pStyle w:val="PolicyText"/>
        <w:numPr>
          <w:ilvl w:val="0"/>
          <w:numId w:val="20"/>
        </w:numPr>
      </w:pPr>
      <w:r>
        <w:t>Where there are serious concerns that a charity’s safeguarding policies are not being complied with or its practices are placing children or adults at risk of harm.</w:t>
      </w:r>
    </w:p>
    <w:p w14:paraId="4FD14602" w14:textId="77777777" w:rsidR="00942757" w:rsidRDefault="00942757" w:rsidP="00004183">
      <w:pPr>
        <w:pStyle w:val="PolicySubheading"/>
      </w:pPr>
      <w:r>
        <w:t>10.0 Training and Supervision</w:t>
      </w:r>
    </w:p>
    <w:p w14:paraId="2A77A13B" w14:textId="77777777" w:rsidR="00942757" w:rsidRDefault="00942757" w:rsidP="00942757">
      <w:pPr>
        <w:pStyle w:val="PolicyText"/>
      </w:pPr>
      <w:r>
        <w:t xml:space="preserve">Staff and Volunteer understanding of, and adherence to, this policy and procedure will be ensured through training and the delivery of awareness raising workshops. For new staff and volunteers this will form part of their induction process. The Designated Safeguarding Lead will co-ordinate yearly briefings, updates, and refresher training to ensure that staff remain up to date and aware of best practice as appropriate to their level of responsibility. </w:t>
      </w:r>
    </w:p>
    <w:p w14:paraId="276F8C7A" w14:textId="4A711A7E" w:rsidR="00E9432B" w:rsidRDefault="00942757" w:rsidP="00942757">
      <w:pPr>
        <w:pStyle w:val="PolicyText"/>
      </w:pPr>
      <w:r>
        <w:t>Supervision is essential to supporting staff and provides assurance for both the organisation and the staff member. Workers should feel confident that they are supported to respond to safeguarding issues and have the right training and professional development through regular supervision and appraisal. Staff and Volunteers should be encouraged to further their knowledge base through gaining additional skills and knowledge.</w:t>
      </w:r>
    </w:p>
    <w:sectPr w:rsidR="00E9432B" w:rsidSect="001D21E9">
      <w:headerReference w:type="default" r:id="rId14"/>
      <w:footerReference w:type="default" r:id="rId15"/>
      <w:pgSz w:w="11906" w:h="16838"/>
      <w:pgMar w:top="1440" w:right="1440" w:bottom="1440" w:left="1440"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AADE" w14:textId="77777777" w:rsidR="002E5985" w:rsidRDefault="002E5985" w:rsidP="001D21E9">
      <w:r>
        <w:separator/>
      </w:r>
    </w:p>
  </w:endnote>
  <w:endnote w:type="continuationSeparator" w:id="0">
    <w:p w14:paraId="742D91C1" w14:textId="77777777" w:rsidR="002E5985" w:rsidRDefault="002E5985" w:rsidP="001D21E9">
      <w:r>
        <w:continuationSeparator/>
      </w:r>
    </w:p>
  </w:endnote>
  <w:endnote w:type="continuationNotice" w:id="1">
    <w:p w14:paraId="6605AE71" w14:textId="77777777" w:rsidR="00536C57" w:rsidRDefault="00536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0A00" w14:textId="77777777" w:rsidR="001D21E9" w:rsidRDefault="001D21E9" w:rsidP="001D21E9">
    <w:pPr>
      <w:pStyle w:val="Default"/>
      <w:rPr>
        <w:color w:val="auto"/>
      </w:rPr>
    </w:pPr>
  </w:p>
  <w:tbl>
    <w:tblPr>
      <w:tblW w:w="0" w:type="auto"/>
      <w:tblLook w:val="04A0" w:firstRow="1" w:lastRow="0" w:firstColumn="1" w:lastColumn="0" w:noHBand="0" w:noVBand="1"/>
    </w:tblPr>
    <w:tblGrid>
      <w:gridCol w:w="4517"/>
      <w:gridCol w:w="4509"/>
    </w:tblGrid>
    <w:tr w:rsidR="001D21E9" w:rsidRPr="001D21E9" w14:paraId="2442EC68" w14:textId="77777777" w:rsidTr="0022753D">
      <w:trPr>
        <w:trHeight w:val="142"/>
      </w:trPr>
      <w:tc>
        <w:tcPr>
          <w:tcW w:w="4621" w:type="dxa"/>
          <w:shd w:val="clear" w:color="auto" w:fill="auto"/>
        </w:tcPr>
        <w:p w14:paraId="41467E16" w14:textId="77777777" w:rsidR="001D21E9" w:rsidRPr="001D21E9" w:rsidRDefault="001D21E9" w:rsidP="001D21E9">
          <w:pPr>
            <w:pStyle w:val="Default"/>
            <w:rPr>
              <w:rFonts w:ascii="Calibri" w:hAnsi="Calibri" w:cs="Calibri"/>
              <w:color w:val="2A3187"/>
              <w:sz w:val="22"/>
              <w:szCs w:val="22"/>
            </w:rPr>
          </w:pPr>
          <w:r w:rsidRPr="001D21E9">
            <w:rPr>
              <w:rFonts w:ascii="Calibri" w:hAnsi="Calibri" w:cs="Calibri"/>
              <w:color w:val="2A3187"/>
              <w:sz w:val="22"/>
              <w:szCs w:val="22"/>
            </w:rPr>
            <w:tab/>
          </w:r>
        </w:p>
      </w:tc>
      <w:tc>
        <w:tcPr>
          <w:tcW w:w="4621" w:type="dxa"/>
          <w:shd w:val="clear" w:color="auto" w:fill="auto"/>
        </w:tcPr>
        <w:p w14:paraId="485FF4E6" w14:textId="77777777" w:rsidR="001D21E9" w:rsidRPr="001D21E9" w:rsidRDefault="001D21E9" w:rsidP="001D21E9">
          <w:pPr>
            <w:pStyle w:val="Default"/>
            <w:jc w:val="right"/>
            <w:rPr>
              <w:rFonts w:ascii="Calibri" w:hAnsi="Calibri" w:cs="Calibri"/>
              <w:color w:val="2A3187"/>
              <w:sz w:val="22"/>
              <w:szCs w:val="22"/>
            </w:rPr>
          </w:pPr>
          <w:r w:rsidRPr="001D21E9">
            <w:rPr>
              <w:rFonts w:ascii="Calibri" w:hAnsi="Calibri" w:cs="Calibri"/>
              <w:color w:val="2A3187"/>
              <w:sz w:val="22"/>
              <w:szCs w:val="22"/>
            </w:rPr>
            <w:t xml:space="preserve">Page </w:t>
          </w:r>
          <w:r w:rsidRPr="001D21E9">
            <w:rPr>
              <w:rFonts w:ascii="Calibri" w:hAnsi="Calibri" w:cs="Calibri"/>
              <w:color w:val="2A3187"/>
              <w:sz w:val="22"/>
              <w:szCs w:val="22"/>
            </w:rPr>
            <w:fldChar w:fldCharType="begin"/>
          </w:r>
          <w:r w:rsidRPr="001D21E9">
            <w:rPr>
              <w:rFonts w:ascii="Calibri" w:hAnsi="Calibri" w:cs="Calibri"/>
              <w:color w:val="2A3187"/>
              <w:sz w:val="22"/>
              <w:szCs w:val="22"/>
            </w:rPr>
            <w:instrText xml:space="preserve"> PAGE </w:instrText>
          </w:r>
          <w:r w:rsidRPr="001D21E9">
            <w:rPr>
              <w:rFonts w:ascii="Calibri" w:hAnsi="Calibri" w:cs="Calibri"/>
              <w:color w:val="2A3187"/>
              <w:sz w:val="22"/>
              <w:szCs w:val="22"/>
            </w:rPr>
            <w:fldChar w:fldCharType="separate"/>
          </w:r>
          <w:r w:rsidRPr="001D21E9">
            <w:rPr>
              <w:rFonts w:ascii="Calibri" w:hAnsi="Calibri" w:cs="Calibri"/>
              <w:color w:val="2A3187"/>
              <w:sz w:val="22"/>
              <w:szCs w:val="22"/>
            </w:rPr>
            <w:t>3</w:t>
          </w:r>
          <w:r w:rsidRPr="001D21E9">
            <w:rPr>
              <w:rFonts w:ascii="Calibri" w:hAnsi="Calibri" w:cs="Calibri"/>
              <w:color w:val="2A3187"/>
              <w:sz w:val="22"/>
              <w:szCs w:val="22"/>
            </w:rPr>
            <w:fldChar w:fldCharType="end"/>
          </w:r>
          <w:r w:rsidRPr="001D21E9">
            <w:rPr>
              <w:rFonts w:ascii="Calibri" w:hAnsi="Calibri" w:cs="Calibri"/>
              <w:color w:val="2A3187"/>
              <w:sz w:val="22"/>
              <w:szCs w:val="22"/>
            </w:rPr>
            <w:t xml:space="preserve"> of </w:t>
          </w:r>
          <w:r w:rsidRPr="001D21E9">
            <w:rPr>
              <w:rFonts w:ascii="Calibri" w:hAnsi="Calibri" w:cs="Calibri"/>
              <w:color w:val="2A3187"/>
              <w:sz w:val="22"/>
              <w:szCs w:val="22"/>
            </w:rPr>
            <w:fldChar w:fldCharType="begin"/>
          </w:r>
          <w:r w:rsidRPr="001D21E9">
            <w:rPr>
              <w:rFonts w:ascii="Calibri" w:hAnsi="Calibri" w:cs="Calibri"/>
              <w:color w:val="2A3187"/>
              <w:sz w:val="22"/>
              <w:szCs w:val="22"/>
            </w:rPr>
            <w:instrText xml:space="preserve"> NUMPAGES  </w:instrText>
          </w:r>
          <w:r w:rsidRPr="001D21E9">
            <w:rPr>
              <w:rFonts w:ascii="Calibri" w:hAnsi="Calibri" w:cs="Calibri"/>
              <w:color w:val="2A3187"/>
              <w:sz w:val="22"/>
              <w:szCs w:val="22"/>
            </w:rPr>
            <w:fldChar w:fldCharType="separate"/>
          </w:r>
          <w:r w:rsidRPr="001D21E9">
            <w:rPr>
              <w:rFonts w:ascii="Calibri" w:hAnsi="Calibri" w:cs="Calibri"/>
              <w:color w:val="2A3187"/>
              <w:sz w:val="22"/>
              <w:szCs w:val="22"/>
            </w:rPr>
            <w:t>4</w:t>
          </w:r>
          <w:r w:rsidRPr="001D21E9">
            <w:rPr>
              <w:rFonts w:ascii="Calibri" w:hAnsi="Calibri" w:cs="Calibri"/>
              <w:color w:val="2A3187"/>
              <w:sz w:val="22"/>
              <w:szCs w:val="22"/>
            </w:rPr>
            <w:fldChar w:fldCharType="end"/>
          </w:r>
        </w:p>
      </w:tc>
    </w:tr>
  </w:tbl>
  <w:p w14:paraId="367404E2" w14:textId="77777777" w:rsidR="001D21E9" w:rsidRPr="001D21E9" w:rsidRDefault="001D21E9" w:rsidP="001D21E9">
    <w:pPr>
      <w:pStyle w:val="Default"/>
    </w:pPr>
    <w:r>
      <w:rPr>
        <w:rFonts w:cs="Tahoma"/>
        <w:color w:val="002060"/>
      </w:rPr>
      <w:tab/>
    </w:r>
    <w:r>
      <w:rPr>
        <w:rFonts w:cs="Tahoma"/>
        <w:color w:val="002060"/>
      </w:rPr>
      <w:tab/>
    </w:r>
    <w:r>
      <w:rPr>
        <w:rFonts w:cs="Tahoma"/>
        <w:color w:val="002060"/>
      </w:rPr>
      <w:tab/>
    </w:r>
    <w:r>
      <w:rPr>
        <w:rFonts w:cs="Tahoma"/>
        <w:color w:val="0020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106D" w14:textId="77777777" w:rsidR="002E5985" w:rsidRDefault="002E5985" w:rsidP="001D21E9">
      <w:r>
        <w:separator/>
      </w:r>
    </w:p>
  </w:footnote>
  <w:footnote w:type="continuationSeparator" w:id="0">
    <w:p w14:paraId="665C8F64" w14:textId="77777777" w:rsidR="002E5985" w:rsidRDefault="002E5985" w:rsidP="001D21E9">
      <w:r>
        <w:continuationSeparator/>
      </w:r>
    </w:p>
  </w:footnote>
  <w:footnote w:type="continuationNotice" w:id="1">
    <w:p w14:paraId="700F6E31" w14:textId="77777777" w:rsidR="00536C57" w:rsidRDefault="00536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2CBB" w14:textId="5037AD7B" w:rsidR="007B5A40" w:rsidRPr="00457B18" w:rsidRDefault="0022753D">
    <w:pPr>
      <w:pStyle w:val="Header"/>
      <w:rPr>
        <w:rFonts w:ascii="Calibri" w:hAnsi="Calibri" w:cs="Calibri"/>
        <w:color w:val="F8981C"/>
      </w:rPr>
    </w:pPr>
    <w:r w:rsidRPr="00457B18">
      <w:rPr>
        <w:rFonts w:ascii="Calibri" w:hAnsi="Calibri" w:cs="Calibri"/>
        <w:color w:val="F8981C"/>
      </w:rPr>
      <w:t xml:space="preserve">Last Reviewed: </w:t>
    </w:r>
    <w:r w:rsidR="007B5A40">
      <w:rPr>
        <w:rFonts w:ascii="Calibri" w:hAnsi="Calibri" w:cs="Calibri"/>
        <w:color w:val="F8981C"/>
      </w:rP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565"/>
    <w:multiLevelType w:val="hybridMultilevel"/>
    <w:tmpl w:val="56DCA8AA"/>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D5BB1"/>
    <w:multiLevelType w:val="hybridMultilevel"/>
    <w:tmpl w:val="F46EAD60"/>
    <w:lvl w:ilvl="0" w:tplc="E57441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D0EEF"/>
    <w:multiLevelType w:val="hybridMultilevel"/>
    <w:tmpl w:val="1388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60D2D"/>
    <w:multiLevelType w:val="hybridMultilevel"/>
    <w:tmpl w:val="67EEA4AE"/>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93A0F"/>
    <w:multiLevelType w:val="hybridMultilevel"/>
    <w:tmpl w:val="26201DC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B03BA1"/>
    <w:multiLevelType w:val="hybridMultilevel"/>
    <w:tmpl w:val="7D9C3AF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DE65C8"/>
    <w:multiLevelType w:val="hybridMultilevel"/>
    <w:tmpl w:val="B15E0DA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45381"/>
    <w:multiLevelType w:val="hybridMultilevel"/>
    <w:tmpl w:val="A1F0DD70"/>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C3120"/>
    <w:multiLevelType w:val="hybridMultilevel"/>
    <w:tmpl w:val="86501476"/>
    <w:lvl w:ilvl="0" w:tplc="FFFFFFFF">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9839AC"/>
    <w:multiLevelType w:val="hybridMultilevel"/>
    <w:tmpl w:val="57E07E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93581"/>
    <w:multiLevelType w:val="hybridMultilevel"/>
    <w:tmpl w:val="B21A2CAA"/>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B184B"/>
    <w:multiLevelType w:val="hybridMultilevel"/>
    <w:tmpl w:val="49D038CA"/>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B4A46"/>
    <w:multiLevelType w:val="hybridMultilevel"/>
    <w:tmpl w:val="54C0A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07A40"/>
    <w:multiLevelType w:val="hybridMultilevel"/>
    <w:tmpl w:val="97C0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25D7D"/>
    <w:multiLevelType w:val="hybridMultilevel"/>
    <w:tmpl w:val="8BC0E268"/>
    <w:lvl w:ilvl="0" w:tplc="14AC5E0C">
      <w:numFmt w:val="bullet"/>
      <w:lvlText w:val="•"/>
      <w:lvlJc w:val="left"/>
      <w:pPr>
        <w:ind w:left="1080" w:hanging="720"/>
      </w:pPr>
      <w:rPr>
        <w:rFonts w:ascii="Calibri" w:eastAsia="Times New Roman" w:hAnsi="Calibri" w:cs="Calibri" w:hint="default"/>
      </w:rPr>
    </w:lvl>
    <w:lvl w:ilvl="1" w:tplc="673AB2D8">
      <w:numFmt w:val="bullet"/>
      <w:lvlText w:val=""/>
      <w:lvlJc w:val="left"/>
      <w:pPr>
        <w:ind w:left="1800" w:hanging="720"/>
      </w:pPr>
      <w:rPr>
        <w:rFonts w:ascii="Symbol" w:eastAsia="Times New Roman"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05815"/>
    <w:multiLevelType w:val="hybridMultilevel"/>
    <w:tmpl w:val="E31A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1094B"/>
    <w:multiLevelType w:val="hybridMultilevel"/>
    <w:tmpl w:val="6B7497EE"/>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D7061"/>
    <w:multiLevelType w:val="hybridMultilevel"/>
    <w:tmpl w:val="2E76B630"/>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821B3"/>
    <w:multiLevelType w:val="hybridMultilevel"/>
    <w:tmpl w:val="108E7A70"/>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F36CB8"/>
    <w:multiLevelType w:val="hybridMultilevel"/>
    <w:tmpl w:val="59DCB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4DEC2C7C"/>
    <w:multiLevelType w:val="hybridMultilevel"/>
    <w:tmpl w:val="A90A5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314E1C"/>
    <w:multiLevelType w:val="hybridMultilevel"/>
    <w:tmpl w:val="A4A600F8"/>
    <w:lvl w:ilvl="0" w:tplc="3CCE1896">
      <w:start w:val="1"/>
      <w:numFmt w:val="bullet"/>
      <w:lvlText w:val=""/>
      <w:lvlJc w:val="left"/>
      <w:pPr>
        <w:tabs>
          <w:tab w:val="num" w:pos="1440"/>
        </w:tabs>
        <w:ind w:left="1440"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3434F0"/>
    <w:multiLevelType w:val="hybridMultilevel"/>
    <w:tmpl w:val="3F66948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E13CA9"/>
    <w:multiLevelType w:val="hybridMultilevel"/>
    <w:tmpl w:val="B104973C"/>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F694A"/>
    <w:multiLevelType w:val="hybridMultilevel"/>
    <w:tmpl w:val="28C696C2"/>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8F3BF7"/>
    <w:multiLevelType w:val="hybridMultilevel"/>
    <w:tmpl w:val="8D6AA0FA"/>
    <w:lvl w:ilvl="0" w:tplc="65865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F65ED2"/>
    <w:multiLevelType w:val="hybridMultilevel"/>
    <w:tmpl w:val="D4706988"/>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B5D47"/>
    <w:multiLevelType w:val="hybridMultilevel"/>
    <w:tmpl w:val="89C6EC76"/>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377216"/>
    <w:multiLevelType w:val="hybridMultilevel"/>
    <w:tmpl w:val="306618E4"/>
    <w:lvl w:ilvl="0" w:tplc="3CCE1896">
      <w:start w:val="1"/>
      <w:numFmt w:val="bullet"/>
      <w:lvlText w:val=""/>
      <w:lvlJc w:val="left"/>
      <w:pPr>
        <w:tabs>
          <w:tab w:val="num" w:pos="1440"/>
        </w:tabs>
        <w:ind w:left="1440"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A6EC4"/>
    <w:multiLevelType w:val="hybridMultilevel"/>
    <w:tmpl w:val="28E2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95124"/>
    <w:multiLevelType w:val="hybridMultilevel"/>
    <w:tmpl w:val="26F4BE14"/>
    <w:lvl w:ilvl="0" w:tplc="14AC5E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0248E7"/>
    <w:multiLevelType w:val="hybridMultilevel"/>
    <w:tmpl w:val="D08E8128"/>
    <w:lvl w:ilvl="0" w:tplc="14AC5E0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212D76"/>
    <w:multiLevelType w:val="hybridMultilevel"/>
    <w:tmpl w:val="6E16BC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A50D8"/>
    <w:multiLevelType w:val="hybridMultilevel"/>
    <w:tmpl w:val="4734FE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A33A63"/>
    <w:multiLevelType w:val="hybridMultilevel"/>
    <w:tmpl w:val="55F4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340824">
    <w:abstractNumId w:val="12"/>
  </w:num>
  <w:num w:numId="2" w16cid:durableId="1637565156">
    <w:abstractNumId w:val="25"/>
  </w:num>
  <w:num w:numId="3" w16cid:durableId="1501891621">
    <w:abstractNumId w:val="34"/>
  </w:num>
  <w:num w:numId="4" w16cid:durableId="1763717195">
    <w:abstractNumId w:val="4"/>
  </w:num>
  <w:num w:numId="5" w16cid:durableId="1993873236">
    <w:abstractNumId w:val="22"/>
  </w:num>
  <w:num w:numId="6" w16cid:durableId="553083572">
    <w:abstractNumId w:val="28"/>
  </w:num>
  <w:num w:numId="7" w16cid:durableId="1647317724">
    <w:abstractNumId w:val="21"/>
  </w:num>
  <w:num w:numId="8" w16cid:durableId="876430389">
    <w:abstractNumId w:val="5"/>
  </w:num>
  <w:num w:numId="9" w16cid:durableId="2111506150">
    <w:abstractNumId w:val="20"/>
  </w:num>
  <w:num w:numId="10" w16cid:durableId="2125222675">
    <w:abstractNumId w:val="6"/>
  </w:num>
  <w:num w:numId="11" w16cid:durableId="442190130">
    <w:abstractNumId w:val="15"/>
  </w:num>
  <w:num w:numId="12" w16cid:durableId="1316180907">
    <w:abstractNumId w:val="2"/>
  </w:num>
  <w:num w:numId="13" w16cid:durableId="893084131">
    <w:abstractNumId w:val="9"/>
  </w:num>
  <w:num w:numId="14" w16cid:durableId="1500730316">
    <w:abstractNumId w:val="33"/>
  </w:num>
  <w:num w:numId="15" w16cid:durableId="1625579383">
    <w:abstractNumId w:val="19"/>
  </w:num>
  <w:num w:numId="16" w16cid:durableId="1700201502">
    <w:abstractNumId w:val="13"/>
  </w:num>
  <w:num w:numId="17" w16cid:durableId="1354459245">
    <w:abstractNumId w:val="1"/>
  </w:num>
  <w:num w:numId="18" w16cid:durableId="1799059519">
    <w:abstractNumId w:val="29"/>
  </w:num>
  <w:num w:numId="19" w16cid:durableId="1169754782">
    <w:abstractNumId w:val="14"/>
  </w:num>
  <w:num w:numId="20" w16cid:durableId="1741706431">
    <w:abstractNumId w:val="31"/>
  </w:num>
  <w:num w:numId="21" w16cid:durableId="322053344">
    <w:abstractNumId w:val="23"/>
  </w:num>
  <w:num w:numId="22" w16cid:durableId="1730493811">
    <w:abstractNumId w:val="11"/>
  </w:num>
  <w:num w:numId="23" w16cid:durableId="2081057888">
    <w:abstractNumId w:val="26"/>
  </w:num>
  <w:num w:numId="24" w16cid:durableId="1169103404">
    <w:abstractNumId w:val="8"/>
  </w:num>
  <w:num w:numId="25" w16cid:durableId="459492516">
    <w:abstractNumId w:val="32"/>
  </w:num>
  <w:num w:numId="26" w16cid:durableId="1412265702">
    <w:abstractNumId w:val="7"/>
  </w:num>
  <w:num w:numId="27" w16cid:durableId="1811678256">
    <w:abstractNumId w:val="24"/>
  </w:num>
  <w:num w:numId="28" w16cid:durableId="1908609973">
    <w:abstractNumId w:val="17"/>
  </w:num>
  <w:num w:numId="29" w16cid:durableId="341595139">
    <w:abstractNumId w:val="18"/>
  </w:num>
  <w:num w:numId="30" w16cid:durableId="709840750">
    <w:abstractNumId w:val="0"/>
  </w:num>
  <w:num w:numId="31" w16cid:durableId="284699293">
    <w:abstractNumId w:val="3"/>
  </w:num>
  <w:num w:numId="32" w16cid:durableId="1879735447">
    <w:abstractNumId w:val="30"/>
  </w:num>
  <w:num w:numId="33" w16cid:durableId="2039891519">
    <w:abstractNumId w:val="10"/>
  </w:num>
  <w:num w:numId="34" w16cid:durableId="290094387">
    <w:abstractNumId w:val="27"/>
  </w:num>
  <w:num w:numId="35" w16cid:durableId="97406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04"/>
    <w:rsid w:val="00004183"/>
    <w:rsid w:val="0003544D"/>
    <w:rsid w:val="000611C4"/>
    <w:rsid w:val="00066348"/>
    <w:rsid w:val="0008415E"/>
    <w:rsid w:val="00095110"/>
    <w:rsid w:val="000A1B87"/>
    <w:rsid w:val="000B4D7D"/>
    <w:rsid w:val="000F34F3"/>
    <w:rsid w:val="00111870"/>
    <w:rsid w:val="001A086F"/>
    <w:rsid w:val="001B787F"/>
    <w:rsid w:val="001D21E9"/>
    <w:rsid w:val="0022753D"/>
    <w:rsid w:val="002B3464"/>
    <w:rsid w:val="002E1380"/>
    <w:rsid w:val="002E5985"/>
    <w:rsid w:val="002F2155"/>
    <w:rsid w:val="0032580F"/>
    <w:rsid w:val="003606E6"/>
    <w:rsid w:val="003739E1"/>
    <w:rsid w:val="0038443B"/>
    <w:rsid w:val="003C7826"/>
    <w:rsid w:val="00457B18"/>
    <w:rsid w:val="00511959"/>
    <w:rsid w:val="00515592"/>
    <w:rsid w:val="00536C57"/>
    <w:rsid w:val="005658A6"/>
    <w:rsid w:val="00572C7F"/>
    <w:rsid w:val="0058146E"/>
    <w:rsid w:val="00632449"/>
    <w:rsid w:val="00635919"/>
    <w:rsid w:val="00645004"/>
    <w:rsid w:val="00645A51"/>
    <w:rsid w:val="007155B5"/>
    <w:rsid w:val="00771C55"/>
    <w:rsid w:val="007A152B"/>
    <w:rsid w:val="007B5A40"/>
    <w:rsid w:val="0085072D"/>
    <w:rsid w:val="008A0996"/>
    <w:rsid w:val="008E3DA1"/>
    <w:rsid w:val="00942757"/>
    <w:rsid w:val="00962FA7"/>
    <w:rsid w:val="009A07FF"/>
    <w:rsid w:val="009A69E7"/>
    <w:rsid w:val="009C7A64"/>
    <w:rsid w:val="009D5778"/>
    <w:rsid w:val="009F3DCD"/>
    <w:rsid w:val="00B0180D"/>
    <w:rsid w:val="00B146A2"/>
    <w:rsid w:val="00B26126"/>
    <w:rsid w:val="00B6762D"/>
    <w:rsid w:val="00BC641F"/>
    <w:rsid w:val="00C26057"/>
    <w:rsid w:val="00C54643"/>
    <w:rsid w:val="00CA54DA"/>
    <w:rsid w:val="00CC616E"/>
    <w:rsid w:val="00D50F35"/>
    <w:rsid w:val="00E02A2D"/>
    <w:rsid w:val="00E40E4E"/>
    <w:rsid w:val="00E42475"/>
    <w:rsid w:val="00E45817"/>
    <w:rsid w:val="00E6474C"/>
    <w:rsid w:val="00E9432B"/>
    <w:rsid w:val="00ED7300"/>
    <w:rsid w:val="00F8153A"/>
    <w:rsid w:val="00FC2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5F2BD"/>
  <w15:chartTrackingRefBased/>
  <w15:docId w15:val="{152F48DB-DC21-49F6-BBE5-A6FBBD3B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0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645004"/>
    <w:pPr>
      <w:ind w:right="-46"/>
      <w:jc w:val="center"/>
      <w:outlineLvl w:val="0"/>
    </w:pPr>
    <w:rPr>
      <w:rFonts w:ascii="Calibri" w:hAnsi="Calibri"/>
      <w:b/>
      <w: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5004"/>
    <w:rPr>
      <w:rFonts w:ascii="Calibri" w:eastAsia="Times New Roman" w:hAnsi="Calibri" w:cs="Times New Roman"/>
      <w:b/>
      <w:caps/>
      <w:sz w:val="32"/>
      <w:szCs w:val="32"/>
      <w:lang w:val="en-US"/>
    </w:rPr>
  </w:style>
  <w:style w:type="paragraph" w:customStyle="1" w:styleId="Default">
    <w:name w:val="Default"/>
    <w:rsid w:val="00645004"/>
    <w:pPr>
      <w:autoSpaceDE w:val="0"/>
      <w:autoSpaceDN w:val="0"/>
      <w:adjustRightInd w:val="0"/>
    </w:pPr>
    <w:rPr>
      <w:rFonts w:ascii="Arial" w:eastAsia="Times New Roman" w:hAnsi="Arial" w:cs="Arial"/>
      <w:color w:val="000000"/>
      <w:sz w:val="24"/>
      <w:szCs w:val="24"/>
    </w:rPr>
  </w:style>
  <w:style w:type="character" w:styleId="FootnoteReference">
    <w:name w:val="footnote reference"/>
    <w:semiHidden/>
    <w:rsid w:val="00645004"/>
    <w:rPr>
      <w:vertAlign w:val="superscript"/>
    </w:rPr>
  </w:style>
  <w:style w:type="paragraph" w:styleId="NormalWeb">
    <w:name w:val="Normal (Web)"/>
    <w:basedOn w:val="Normal"/>
    <w:rsid w:val="00645004"/>
    <w:pPr>
      <w:spacing w:before="100" w:beforeAutospacing="1" w:after="100" w:afterAutospacing="1"/>
    </w:pPr>
    <w:rPr>
      <w:rFonts w:ascii="Calibri" w:hAnsi="Calibri"/>
      <w:lang w:val="en-GB"/>
    </w:rPr>
  </w:style>
  <w:style w:type="paragraph" w:customStyle="1" w:styleId="PolicySubheading">
    <w:name w:val="Policy Subheading"/>
    <w:basedOn w:val="Default"/>
    <w:qFormat/>
    <w:rsid w:val="000B4D7D"/>
    <w:pPr>
      <w:spacing w:before="200"/>
    </w:pPr>
    <w:rPr>
      <w:rFonts w:ascii="Calibri" w:hAnsi="Calibri" w:cs="Calibri"/>
      <w:b/>
      <w:bCs/>
      <w:caps/>
      <w:color w:val="2A3187"/>
    </w:rPr>
  </w:style>
  <w:style w:type="paragraph" w:styleId="Header">
    <w:name w:val="header"/>
    <w:basedOn w:val="Normal"/>
    <w:link w:val="HeaderChar"/>
    <w:uiPriority w:val="99"/>
    <w:unhideWhenUsed/>
    <w:rsid w:val="001D21E9"/>
    <w:pPr>
      <w:tabs>
        <w:tab w:val="center" w:pos="4513"/>
        <w:tab w:val="right" w:pos="9026"/>
      </w:tabs>
    </w:pPr>
  </w:style>
  <w:style w:type="character" w:customStyle="1" w:styleId="HeaderChar">
    <w:name w:val="Header Char"/>
    <w:link w:val="Header"/>
    <w:uiPriority w:val="99"/>
    <w:rsid w:val="001D21E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1D21E9"/>
    <w:pPr>
      <w:tabs>
        <w:tab w:val="center" w:pos="4513"/>
        <w:tab w:val="right" w:pos="9026"/>
      </w:tabs>
    </w:pPr>
  </w:style>
  <w:style w:type="character" w:customStyle="1" w:styleId="FooterChar">
    <w:name w:val="Footer Char"/>
    <w:link w:val="Footer"/>
    <w:uiPriority w:val="99"/>
    <w:rsid w:val="001D21E9"/>
    <w:rPr>
      <w:rFonts w:ascii="Times New Roman" w:eastAsia="Times New Roman" w:hAnsi="Times New Roman"/>
      <w:sz w:val="24"/>
      <w:szCs w:val="24"/>
      <w:lang w:val="en-US" w:eastAsia="en-US"/>
    </w:rPr>
  </w:style>
  <w:style w:type="table" w:styleId="TableGrid">
    <w:name w:val="Table Grid"/>
    <w:basedOn w:val="TableNormal"/>
    <w:uiPriority w:val="39"/>
    <w:rsid w:val="001D2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ext">
    <w:name w:val="Policy Text"/>
    <w:basedOn w:val="Default"/>
    <w:qFormat/>
    <w:rsid w:val="0085072D"/>
    <w:pPr>
      <w:spacing w:after="120"/>
    </w:pPr>
    <w:rPr>
      <w:rFonts w:ascii="Calibri" w:hAnsi="Calibri" w:cs="Calibri"/>
      <w:color w:val="2A3187"/>
    </w:rPr>
  </w:style>
  <w:style w:type="character" w:styleId="Hyperlink">
    <w:name w:val="Hyperlink"/>
    <w:basedOn w:val="DefaultParagraphFont"/>
    <w:uiPriority w:val="99"/>
    <w:unhideWhenUsed/>
    <w:rsid w:val="0008415E"/>
    <w:rPr>
      <w:color w:val="0563C1" w:themeColor="hyperlink"/>
      <w:u w:val="single"/>
    </w:rPr>
  </w:style>
  <w:style w:type="character" w:styleId="UnresolvedMention">
    <w:name w:val="Unresolved Mention"/>
    <w:basedOn w:val="DefaultParagraphFont"/>
    <w:uiPriority w:val="99"/>
    <w:semiHidden/>
    <w:unhideWhenUsed/>
    <w:rsid w:val="0008415E"/>
    <w:rPr>
      <w:color w:val="605E5C"/>
      <w:shd w:val="clear" w:color="auto" w:fill="E1DFDD"/>
    </w:rPr>
  </w:style>
  <w:style w:type="paragraph" w:styleId="NoSpacing">
    <w:name w:val="No Spacing"/>
    <w:uiPriority w:val="1"/>
    <w:qFormat/>
    <w:rsid w:val="001A086F"/>
    <w:rPr>
      <w:rFonts w:ascii="Times New Roman" w:eastAsia="Times New Roman" w:hAnsi="Times New Roman"/>
      <w:sz w:val="24"/>
      <w:szCs w:val="24"/>
      <w:lang w:val="en-US" w:eastAsia="en-US"/>
    </w:rPr>
  </w:style>
  <w:style w:type="paragraph" w:styleId="Title">
    <w:name w:val="Title"/>
    <w:basedOn w:val="Normal"/>
    <w:next w:val="Normal"/>
    <w:link w:val="TitleChar"/>
    <w:uiPriority w:val="10"/>
    <w:qFormat/>
    <w:rsid w:val="00ED7300"/>
    <w:pPr>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D7300"/>
    <w:rPr>
      <w:rFonts w:asciiTheme="majorHAnsi" w:eastAsiaTheme="majorEastAsia" w:hAnsiTheme="majorHAnsi" w:cstheme="majorBidi"/>
      <w:spacing w:val="-10"/>
      <w:kern w:val="28"/>
      <w:sz w:val="56"/>
      <w:szCs w:val="56"/>
      <w:lang w:eastAsia="en-US"/>
      <w14:ligatures w14:val="standardContextual"/>
    </w:rPr>
  </w:style>
  <w:style w:type="paragraph" w:styleId="ListParagraph">
    <w:name w:val="List Paragraph"/>
    <w:basedOn w:val="Normal"/>
    <w:uiPriority w:val="34"/>
    <w:qFormat/>
    <w:rsid w:val="00ED7300"/>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ent.gov.uk/social-care-and-health/report-abus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87CED212479046882CAED7E7158AF3" ma:contentTypeVersion="18" ma:contentTypeDescription="Create a new document." ma:contentTypeScope="" ma:versionID="523de004e809e4b5532402118d5997f5">
  <xsd:schema xmlns:xsd="http://www.w3.org/2001/XMLSchema" xmlns:xs="http://www.w3.org/2001/XMLSchema" xmlns:p="http://schemas.microsoft.com/office/2006/metadata/properties" xmlns:ns2="b8b6f796-6c81-423a-81cc-d9cb07a4d8b6" xmlns:ns3="f0f4475b-7024-4158-b039-6ddf2840ab5e" targetNamespace="http://schemas.microsoft.com/office/2006/metadata/properties" ma:root="true" ma:fieldsID="87bd77c73cfc141d7c0f17a0b20bdc12" ns2:_="" ns3:_="">
    <xsd:import namespace="b8b6f796-6c81-423a-81cc-d9cb07a4d8b6"/>
    <xsd:import namespace="f0f4475b-7024-4158-b039-6ddf2840ab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f796-6c81-423a-81cc-d9cb07a4d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36153-2e0a-42ef-834d-3fbc78b56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4475b-7024-4158-b039-6ddf2840ab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7d711-dbcb-4565-b9aa-920d290b6a47}" ma:internalName="TaxCatchAll" ma:showField="CatchAllData" ma:web="f0f4475b-7024-4158-b039-6ddf2840a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b6f796-6c81-423a-81cc-d9cb07a4d8b6">
      <Terms xmlns="http://schemas.microsoft.com/office/infopath/2007/PartnerControls"/>
    </lcf76f155ced4ddcb4097134ff3c332f>
    <TaxCatchAll xmlns="f0f4475b-7024-4158-b039-6ddf2840ab5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18E0-C0B1-4188-997F-6CA617660176}">
  <ds:schemaRefs>
    <ds:schemaRef ds:uri="http://schemas.microsoft.com/office/2006/metadata/longProperties"/>
  </ds:schemaRefs>
</ds:datastoreItem>
</file>

<file path=customXml/itemProps2.xml><?xml version="1.0" encoding="utf-8"?>
<ds:datastoreItem xmlns:ds="http://schemas.openxmlformats.org/officeDocument/2006/customXml" ds:itemID="{338CA83D-DC4C-4533-AA59-14C1BD9F2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f796-6c81-423a-81cc-d9cb07a4d8b6"/>
    <ds:schemaRef ds:uri="f0f4475b-7024-4158-b039-6ddf2840a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5AD92-6058-4E18-AD78-6060D15ADBC9}">
  <ds:schemaRefs>
    <ds:schemaRef ds:uri="http://schemas.microsoft.com/sharepoint/v3/contenttype/forms"/>
  </ds:schemaRefs>
</ds:datastoreItem>
</file>

<file path=customXml/itemProps4.xml><?xml version="1.0" encoding="utf-8"?>
<ds:datastoreItem xmlns:ds="http://schemas.openxmlformats.org/officeDocument/2006/customXml" ds:itemID="{32A81C8C-0366-47C4-A091-231965B04A2E}">
  <ds:schemaRefs>
    <ds:schemaRef ds:uri="http://schemas.microsoft.com/office/2006/metadata/properties"/>
    <ds:schemaRef ds:uri="http://schemas.microsoft.com/office/2006/documentManagement/types"/>
    <ds:schemaRef ds:uri="http://purl.org/dc/elements/1.1/"/>
    <ds:schemaRef ds:uri="b8b6f796-6c81-423a-81cc-d9cb07a4d8b6"/>
    <ds:schemaRef ds:uri="http://www.w3.org/XML/1998/namespace"/>
    <ds:schemaRef ds:uri="http://purl.org/dc/dcmitype/"/>
    <ds:schemaRef ds:uri="http://schemas.microsoft.com/office/infopath/2007/PartnerControls"/>
    <ds:schemaRef ds:uri="http://schemas.openxmlformats.org/package/2006/metadata/core-properties"/>
    <ds:schemaRef ds:uri="f0f4475b-7024-4158-b039-6ddf2840ab5e"/>
    <ds:schemaRef ds:uri="http://purl.org/dc/terms/"/>
  </ds:schemaRefs>
</ds:datastoreItem>
</file>

<file path=customXml/itemProps5.xml><?xml version="1.0" encoding="utf-8"?>
<ds:datastoreItem xmlns:ds="http://schemas.openxmlformats.org/officeDocument/2006/customXml" ds:itemID="{584082F1-3EAD-4F54-83AD-3C15B446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Smith</dc:creator>
  <cp:keywords/>
  <dc:description/>
  <cp:lastModifiedBy>Rebecca Bullivant</cp:lastModifiedBy>
  <cp:revision>7</cp:revision>
  <cp:lastPrinted>2023-06-09T09:15:00Z</cp:lastPrinted>
  <dcterms:created xsi:type="dcterms:W3CDTF">2024-01-26T16:00:00Z</dcterms:created>
  <dcterms:modified xsi:type="dcterms:W3CDTF">2024-02-13T12:51:00Z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0x0101003E87CED212479046882CAED7E7158AF3</vt:lpwstr>
  </property>
</Properties>
</file>